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حقُّ النبيِّ ﷺ على أمَّتِه</w:t>
      </w:r>
    </w:p>
    <w:p>
      <w:pPr>
        <w:spacing w:after="120"/>
      </w:pPr>
      <w:r>
        <w:rPr>
          <w:color w:val="8A6A1F"/>
          <w:sz w:val="36"/>
          <w:szCs w:val="36"/>
        </w:rPr>
        <w:t xml:space="preserve">الإكثارُ من ذِكرِه، والأدبُ معه، وتعظيمُ ما عظَّم، واتِّباعُ سُنَّتِه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عرَفَه الجِذع</w:t>
      </w:r>
    </w:p>
    <w:p>
      <w:pPr>
        <w:spacing w:after="140" w:line="340" w:lineRule="auto"/>
        <w:jc w:val="both"/>
      </w:pPr>
      <w:r>
        <w:rPr>
          <w:color w:val="1A1A1A"/>
          <w:sz w:val="36"/>
          <w:szCs w:val="36"/>
        </w:rPr>
        <w:t xml:space="preserve">وبعدُ، أحبَّتي في الله، معاشرَ المصلِّين: من ذا الذي لا يعرِفُ حقَّه؟ أجاهلٌ هو أم غافلٌ مُتغافِل؟ وقد عرَفَ حقَّه الجِذعُ فحَنَّ إليه حتى سكَّنَه ﷺ فسكَن.</w:t>
      </w:r>
      <w:r>
        <w:rPr>
          <w:rStyle w:val="a5"/>
          <w:sz w:val="36"/>
          <w:szCs w:val="36"/>
        </w:rPr>
        <w:footnoteReference w:id="1"/>
      </w:r>
      <w:r>
        <w:rPr>
          <w:color w:val="1A1A1A"/>
          <w:sz w:val="36"/>
          <w:szCs w:val="36"/>
        </w:rPr>
        <w:t xml:space="preserve"> واهتزَّ أُحُدٌ تحت قدمَيه فقال: **</w:t>
      </w:r>
      <w:r>
        <w:rPr>
          <w:b/>
          <w:bCs/>
          <w:color w:val="1F5C3A"/>
          <w:sz w:val="36"/>
          <w:szCs w:val="36"/>
        </w:rPr>
        <w:t xml:space="preserve">«اثبُتْ أُحُد؛ فإنما عليك نبيٌّ وصِدِّيقٌ وشهيدان»</w:t>
      </w:r>
      <w:r>
        <w:rPr>
          <w:color w:val="1A1A1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وثمَّةَ قلوبٌ ممَّن ينتسِبُ إلى أمَّتِه لم تُقدِّرْه حقَّ قدرِه ولم تقُمْ بحقِّه ﷺ.</w:t>
      </w:r>
    </w:p>
    <w:p>
      <w:pPr>
        <w:spacing w:after="140" w:line="340" w:lineRule="auto"/>
        <w:jc w:val="both"/>
      </w:pPr>
      <w:r>
        <w:rPr>
          <w:color w:val="1A1A1A"/>
          <w:sz w:val="36"/>
          <w:szCs w:val="36"/>
        </w:rPr>
        <w:t xml:space="preserve">وأقولُ ابتداءً: واللهِ لو سجَدْنا للهِ منذُ نولَدُ حتى نموتَ ما وفَّينا شُكرَ نعمةِ إرسالِه إلينا نبيًّا ﷺ. فتعالَ معي نتعرَّفْ على غَيضٍ من فَيضٍ من حقوقِه.</w:t>
      </w:r>
    </w:p>
    <w:p>
      <w:pPr>
        <w:spacing w:before="260" w:after="120"/>
      </w:pPr>
      <w:r>
        <w:rPr>
          <w:b/>
          <w:bCs/>
          <w:color w:val="1F5C3A"/>
          <w:sz w:val="36"/>
          <w:szCs w:val="36"/>
        </w:rPr>
        <w:t xml:space="preserve">أولًا: الإكثارُ من ذِكرِه والصلاةِ عليه</w:t>
      </w:r>
    </w:p>
    <w:p>
      <w:pPr>
        <w:spacing w:after="140" w:line="340" w:lineRule="auto"/>
        <w:jc w:val="both"/>
      </w:pPr>
      <w:r>
        <w:rPr>
          <w:color w:val="1A1A1A"/>
          <w:sz w:val="36"/>
          <w:szCs w:val="36"/>
        </w:rPr>
        <w:t xml:space="preserve">فما قامَ بحقِّه ﷺ من هجَرَ ذِكرَه على لسانِه؛ وأعظمُ ذِكرِه الصلاةُ والسلامُ عليه، استجابةً لأمرِ الله:</w:t>
      </w:r>
    </w:p>
    <w:p>
      <w:pPr>
        <w:pBdr>
          <w:right w:val="single" w:sz="12" w:space="10" w:color="8A6A1F"/>
        </w:pBdr>
        <w:spacing w:before="120" w:after="160" w:line="320" w:lineRule="auto"/>
        <w:ind w:left="504" w:right="504"/>
        <w:jc w:val="both"/>
      </w:pPr>
      <w:r>
        <w:rPr>
          <w:b/>
          <w:bCs/>
          <w:color w:val="8A6A1F"/>
          <w:sz w:val="36"/>
          <w:szCs w:val="36"/>
        </w:rPr>
        <w:t xml:space="preserve">﴿إِنَّ اللَّهَ وَمَلَائِكَتَهُ يُصَلُّونَ عَلَى النَّبِيِّ ۚ يَا أَيُّهَا الَّذِينَ آمَنُوا صَلُّوا عَلَيْهِ وَسَلِّمُوا تَسْلِيمًا﴾</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«مَن صلّى عليَّ صلاةً صلّى اللهُ عليه بها عشرًا»</w:t>
      </w:r>
      <w:r>
        <w:rPr>
          <w:rStyle w:val="a5"/>
          <w:sz w:val="36"/>
          <w:szCs w:val="36"/>
        </w:rPr>
        <w:footnoteReference w:id="3"/>
      </w:r>
    </w:p>
    <w:p>
      <w:pPr>
        <w:spacing w:after="140" w:line="340" w:lineRule="auto"/>
        <w:jc w:val="both"/>
      </w:pPr>
      <w:r>
        <w:rPr>
          <w:color w:val="1A1A1A"/>
          <w:sz w:val="36"/>
          <w:szCs w:val="36"/>
        </w:rPr>
        <w:t xml:space="preserve">وقال:</w:t>
      </w:r>
    </w:p>
    <w:p>
      <w:pPr>
        <w:pBdr>
          <w:right w:val="single" w:sz="12" w:space="10" w:color="8A6A1F"/>
        </w:pBdr>
        <w:spacing w:before="120" w:after="160" w:line="320" w:lineRule="auto"/>
        <w:ind w:left="504" w:right="504"/>
        <w:jc w:val="both"/>
      </w:pPr>
      <w:r>
        <w:rPr>
          <w:b/>
          <w:bCs/>
          <w:color w:val="1F5C3A"/>
          <w:sz w:val="36"/>
          <w:szCs w:val="36"/>
        </w:rPr>
        <w:t xml:space="preserve">«البخيلُ من ذُكِرتُ عندَه فلم يُصَلِّ عليّ»</w:t>
      </w:r>
      <w:r>
        <w:rPr>
          <w:rStyle w:val="a5"/>
          <w:sz w:val="36"/>
          <w:szCs w:val="36"/>
        </w:rPr>
        <w:footnoteReference w:id="4"/>
      </w:r>
    </w:p>
    <w:p>
      <w:pPr>
        <w:spacing w:after="140" w:line="340" w:lineRule="auto"/>
        <w:jc w:val="both"/>
      </w:pPr>
      <w:r>
        <w:rPr>
          <w:color w:val="1A1A1A"/>
          <w:sz w:val="36"/>
          <w:szCs w:val="36"/>
        </w:rPr>
        <w:t xml:space="preserve">فما لي أراك ينقضي يومُك وتُطوى صحيفتُك ولم تُصَلِّ عليه؟! فمن أحبَّ شيئًا أكثَرَ من ذِكرِه؛ فإذا رأيتَ ذِكرَنا للدنيا وما فيها انقطعَ عجَبُك.</w:t>
      </w:r>
    </w:p>
    <w:p>
      <w:pPr>
        <w:spacing w:after="140" w:line="340" w:lineRule="auto"/>
        <w:jc w:val="both"/>
      </w:pPr>
      <w:r>
        <w:rPr>
          <w:color w:val="1A1A1A"/>
          <w:sz w:val="36"/>
          <w:szCs w:val="36"/>
        </w:rPr>
        <w:t xml:space="preserve">**ولكنِ انتبِهْ**: أيها الذاكرُ لنبيِّك، احرِصْ ألّا تُخالِفَ السنَّةَ في طريقةِ ذِكرِه؛ فإنّ من الناسِ من يُخطئُ بوّابةَ الذِّكرِ فيقعُ في المحظور. وقد جاء رجلٌ إلى النبيِّ ﷺ فقال: ما شاء اللهُ وشِئتَ؛ فقال ﷺ:</w:t>
      </w:r>
    </w:p>
    <w:p>
      <w:pPr>
        <w:pBdr>
          <w:right w:val="single" w:sz="12" w:space="10" w:color="8A6A1F"/>
        </w:pBdr>
        <w:spacing w:before="120" w:after="160" w:line="320" w:lineRule="auto"/>
        <w:ind w:left="504" w:right="504"/>
        <w:jc w:val="both"/>
      </w:pPr>
      <w:r>
        <w:rPr>
          <w:b/>
          <w:bCs/>
          <w:color w:val="1F5C3A"/>
          <w:sz w:val="36"/>
          <w:szCs w:val="36"/>
        </w:rPr>
        <w:t xml:space="preserve">«أَجعَلتَني للهِ نِدًّا؟ بل ما شاء اللهُ وحدَه»</w:t>
      </w:r>
      <w:r>
        <w:rPr>
          <w:rStyle w:val="a5"/>
          <w:sz w:val="36"/>
          <w:szCs w:val="36"/>
        </w:rPr>
        <w:footnoteReference w:id="5"/>
      </w:r>
    </w:p>
    <w:p>
      <w:pPr>
        <w:spacing w:after="140" w:line="340" w:lineRule="auto"/>
        <w:jc w:val="both"/>
      </w:pPr>
      <w:r>
        <w:rPr>
          <w:color w:val="1A1A1A"/>
          <w:sz w:val="36"/>
          <w:szCs w:val="36"/>
        </w:rPr>
        <w:t xml:space="preserve">فهو ﷺ ينهى عن مجرَّدِ عطفِ المشيئةِ على مشيئةِ الله؛ فما لله لا يُصرَفُ لغيرِه. **فأعظمُ إكرامٍ له ﷺ أن نُفرِدَ اللهَ بما هو حقُّه، وأن نُنزِّلَه ﷺ منزلتَه التي أنزلَه اللهُ إيّاها: عبدًا ورسولًا؛** قال ﷺ:</w:t>
      </w:r>
    </w:p>
    <w:p>
      <w:pPr>
        <w:pBdr>
          <w:right w:val="single" w:sz="12" w:space="10" w:color="8A6A1F"/>
        </w:pBdr>
        <w:spacing w:before="120" w:after="160" w:line="320" w:lineRule="auto"/>
        <w:ind w:left="504" w:right="504"/>
        <w:jc w:val="both"/>
      </w:pPr>
      <w:r>
        <w:rPr>
          <w:b/>
          <w:bCs/>
          <w:color w:val="1F5C3A"/>
          <w:sz w:val="36"/>
          <w:szCs w:val="36"/>
        </w:rPr>
        <w:t xml:space="preserve">«لا تُطروني كما أَطرَتِ النصارى ابنَ مريم؛ إنما أنا عبدُه، فقولوا: عبدُ اللهِ ورسولُه»</w:t>
      </w:r>
      <w:r>
        <w:rPr>
          <w:rStyle w:val="a5"/>
          <w:sz w:val="36"/>
          <w:szCs w:val="36"/>
        </w:rPr>
        <w:footnoteReference w:id="6"/>
      </w:r>
    </w:p>
    <w:p>
      <w:pPr>
        <w:spacing w:before="260" w:after="120"/>
      </w:pPr>
      <w:r>
        <w:rPr>
          <w:b/>
          <w:bCs/>
          <w:color w:val="1F5C3A"/>
          <w:sz w:val="36"/>
          <w:szCs w:val="36"/>
        </w:rPr>
        <w:t xml:space="preserve">ثانيًا: الأدبُ معه ﷺ</w:t>
      </w:r>
    </w:p>
    <w:p>
      <w:pPr>
        <w:spacing w:after="140" w:line="340" w:lineRule="auto"/>
        <w:jc w:val="both"/>
      </w:pPr>
      <w:r>
        <w:rPr>
          <w:color w:val="1A1A1A"/>
          <w:sz w:val="36"/>
          <w:szCs w:val="36"/>
        </w:rPr>
        <w:t xml:space="preserve">فينبغي أن نَسلُكَ الأدبَ عند سماعِ حديثِه وعند ذِكرِه. وقد قال تعالى:</w:t>
      </w:r>
    </w:p>
    <w:p>
      <w:pPr>
        <w:pBdr>
          <w:right w:val="single" w:sz="12" w:space="10" w:color="8A6A1F"/>
        </w:pBdr>
        <w:spacing w:before="120" w:after="160" w:line="320" w:lineRule="auto"/>
        <w:ind w:left="504" w:right="504"/>
        <w:jc w:val="both"/>
      </w:pPr>
      <w:r>
        <w:rPr>
          <w:b/>
          <w:bCs/>
          <w:color w:val="8A6A1F"/>
          <w:sz w:val="36"/>
          <w:szCs w:val="36"/>
        </w:rPr>
        <w:t xml:space="preserve">﴿يَا أَيُّهَا الَّذِينَ آمَنُوا لَا تَرْفَعُوا أَصْوَاتَكُمْ فَوْقَ صَوْتِ النَّبِيِّ﴾</w:t>
      </w:r>
    </w:p>
    <w:p>
      <w:pPr>
        <w:spacing w:after="140" w:line="340" w:lineRule="auto"/>
        <w:jc w:val="both"/>
      </w:pPr>
      <w:r>
        <w:rPr>
          <w:color w:val="1A1A1A"/>
          <w:sz w:val="36"/>
          <w:szCs w:val="36"/>
        </w:rPr>
        <w:t xml:space="preserve">وتأمَّلْ في صفحاتِ سلَفِنا: كان أيّوبُ السَّخْتِيانيُّ ﵀ إذا ذكرَ النبيَّ ﷺ بكى حتى يُرحَمَ له. وكان مالكٌ ﵀ إذا أرادَ أن يُحدِّثَ بحديثِ رسولِ اللهِ ﷺ توضَّأَ ولبِسَ أحسنَ ثيابِه وجلسَ على صدرِ فِراشِه؛ فقيل له في ذلك، فقال: **</w:t>
      </w:r>
      <w:r>
        <w:rPr>
          <w:b/>
          <w:bCs/>
          <w:color w:val="1F5C3A"/>
          <w:sz w:val="36"/>
          <w:szCs w:val="36"/>
        </w:rPr>
        <w:t xml:space="preserve">«أُحِبُّ أن أُعظِّمَ حديثَ رسولِ اللهِ ﷺ»</w:t>
      </w:r>
      <w:r>
        <w:rPr>
          <w:color w:val="1A1A1A"/>
          <w:sz w:val="36"/>
          <w:szCs w:val="36"/>
        </w:rPr>
        <w:t xml:space="preserve">**. وكان محمدُ بنُ المُنكَدِرِ ﵀ إذا سُئِلَ عن حديثٍ بكى حتى يُرحَم. وكان عبدُ الرحمنِ بنُ القاسمِ ﵀ إذا ذكرَ النبيَّ ﷺ نظرتَ إليه وقد نزَفَ الدمُ من وجهِه، ويَبِسَ لسانُه في فمِه هيبةً لرسولِ اللهِ ﷺ.</w:t>
      </w:r>
      <w:r>
        <w:rPr>
          <w:rStyle w:val="a5"/>
          <w:sz w:val="36"/>
          <w:szCs w:val="36"/>
        </w:rPr>
        <w:footnoteReference w:id="7"/>
      </w:r>
    </w:p>
    <w:p>
      <w:pPr>
        <w:spacing w:after="140" w:line="340" w:lineRule="auto"/>
        <w:jc w:val="both"/>
      </w:pPr>
      <w:r>
        <w:rPr>
          <w:color w:val="1A1A1A"/>
          <w:sz w:val="36"/>
          <w:szCs w:val="36"/>
        </w:rPr>
        <w:t xml:space="preserve">هكذا كان تعظيمُهم؛ لا رقصًا ولا طَربًا.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ثالثًا: أن نُعظِّمَ ما عظَّم</w:t>
      </w:r>
    </w:p>
    <w:p>
      <w:pPr>
        <w:spacing w:after="140" w:line="340" w:lineRule="auto"/>
        <w:jc w:val="both"/>
      </w:pPr>
      <w:r>
        <w:rPr>
          <w:color w:val="1A1A1A"/>
          <w:sz w:val="36"/>
          <w:szCs w:val="36"/>
        </w:rPr>
        <w:t xml:space="preserve">وأعظمُ ما عظَّمَه ﷺ **التوحيد**؛ فهذه رسالتُه التي أرسلَه اللهُ بها: إخراجُ الناسِ من الظلماتِ إلى النور، وإفرادُ اللهِ بالعبودية بعد أن كانت تُصرَفُ للأحجارِ والأشجار.</w:t>
      </w:r>
    </w:p>
    <w:p>
      <w:pPr>
        <w:spacing w:after="140" w:line="340" w:lineRule="auto"/>
        <w:jc w:val="both"/>
      </w:pPr>
      <w:r>
        <w:rPr>
          <w:color w:val="1A1A1A"/>
          <w:sz w:val="36"/>
          <w:szCs w:val="36"/>
        </w:rPr>
        <w:t xml:space="preserve">فإن كنتَ ممَّن يُحقِّقُ التوحيدَ فلا تحلِفْ بغيرِ الله، ولا تدعُ غيرَه، وطهِّرْ قلبَك ولسانَك وجوارحَك من الشِّرك؛ فواللهِ إنك بذلك من أعظمِ المُعظِّمين له ﷺ. أمّا من يدَّعي محبَّتَه ولا يعبأُ بالشِّركِ باللهِ فمحبَّتُه ناقصة.</w:t>
      </w:r>
    </w:p>
    <w:p>
      <w:pPr>
        <w:spacing w:before="260" w:after="120"/>
      </w:pPr>
      <w:r>
        <w:rPr>
          <w:b/>
          <w:bCs/>
          <w:color w:val="1F5C3A"/>
          <w:sz w:val="36"/>
          <w:szCs w:val="36"/>
        </w:rPr>
        <w:t xml:space="preserve">رابعًا: تصديقُ حديثِه وإحياءُ سنَّتِه</w:t>
      </w:r>
    </w:p>
    <w:p>
      <w:pPr>
        <w:spacing w:after="140" w:line="340" w:lineRule="auto"/>
        <w:jc w:val="both"/>
      </w:pPr>
      <w:r>
        <w:rPr>
          <w:color w:val="1A1A1A"/>
          <w:sz w:val="36"/>
          <w:szCs w:val="36"/>
        </w:rPr>
        <w:t xml:space="preserve">فالمُحِبُّ الصادقُ تُختبَرُ محبَّتُه حين يسمعُ الحديثَ أو يأتيه أمرٌ باتِّباعِ السنَّة؛ قال تعالى:</w:t>
      </w:r>
    </w:p>
    <w:p>
      <w:pPr>
        <w:pBdr>
          <w:right w:val="single" w:sz="12" w:space="10" w:color="8A6A1F"/>
        </w:pBdr>
        <w:spacing w:before="120" w:after="160" w:line="320" w:lineRule="auto"/>
        <w:ind w:left="504" w:right="504"/>
        <w:jc w:val="both"/>
      </w:pPr>
      <w:r>
        <w:rPr>
          <w:b/>
          <w:bCs/>
          <w:color w:val="8A6A1F"/>
          <w:sz w:val="36"/>
          <w:szCs w:val="36"/>
        </w:rPr>
        <w:t xml:space="preserve">﴿قُلْ إِن كُنتُمْ تُحِبُّونَ اللَّهَ فَاتَّبِعُونِي يُحْبِبْكُمُ اللَّهُ وَيَغْفِرْ لَكُمْ ذُنُوبَكُمْ﴾</w:t>
      </w:r>
    </w:p>
    <w:p>
      <w:pPr>
        <w:spacing w:after="140" w:line="340" w:lineRule="auto"/>
        <w:jc w:val="both"/>
      </w:pPr>
      <w:r>
        <w:rPr>
          <w:color w:val="1A1A1A"/>
          <w:sz w:val="36"/>
          <w:szCs w:val="36"/>
        </w:rPr>
        <w:t xml:space="preserve">فجعلَ اللهُ عَلامةَ المحبَّةِ **الاتِّباع**. وقال ﷺ:</w:t>
      </w:r>
    </w:p>
    <w:p>
      <w:pPr>
        <w:pBdr>
          <w:right w:val="single" w:sz="12" w:space="10" w:color="8A6A1F"/>
        </w:pBdr>
        <w:spacing w:before="120" w:after="160" w:line="320" w:lineRule="auto"/>
        <w:ind w:left="504" w:right="504"/>
        <w:jc w:val="both"/>
      </w:pPr>
      <w:r>
        <w:rPr>
          <w:b/>
          <w:bCs/>
          <w:color w:val="1F5C3A"/>
          <w:sz w:val="36"/>
          <w:szCs w:val="36"/>
        </w:rPr>
        <w:t xml:space="preserve">«فمن رغِبَ عن سُنَّتي فليس مني»</w:t>
      </w:r>
      <w:r>
        <w:rPr>
          <w:rStyle w:val="a5"/>
          <w:sz w:val="36"/>
          <w:szCs w:val="36"/>
        </w:rPr>
        <w:footnoteReference w:id="8"/>
      </w:r>
    </w:p>
    <w:p>
      <w:pPr>
        <w:spacing w:after="140" w:line="340" w:lineRule="auto"/>
        <w:jc w:val="both"/>
      </w:pPr>
      <w:r>
        <w:rPr>
          <w:color w:val="1A1A1A"/>
          <w:sz w:val="36"/>
          <w:szCs w:val="36"/>
        </w:rPr>
        <w:t xml:space="preserve">فأَبشِروا بالخيرِ يا من تدعون إلى إحياءِ سنَّتِه ﷺ نقيَّةً؛ فإنّ الناسَ يَقدَمون على الحوض، ولَيَشرَبَنَّ منه ـ بإذنِ الله ـ المتَّبِعون لهَديِه، الذابُّون عن سنَّتِه.</w:t>
      </w:r>
    </w:p>
    <w:p>
      <w:pPr>
        <w:spacing w:after="140" w:line="340" w:lineRule="auto"/>
        <w:jc w:val="both"/>
      </w:pPr>
      <w:r>
        <w:rPr>
          <w:color w:val="1A1A1A"/>
          <w:sz w:val="36"/>
          <w:szCs w:val="36"/>
        </w:rPr>
        <w:t xml:space="preserve">**وأمّا ما يُحدِثُه بعضُ الناسِ من صُوَرٍ في التعبيرِ عن المحبَّة** ـ ممّا يُخالِفُ هَديَه ﷺ وهَديَ أصحابِه، أو ممّا يقترِنُ بمُنكَرٍ ظاهرٍ من اختلاطٍ ورقصٍ ومُحرَّمات ـ فليس من الحقِّ الذي له علينا في شيء. وقد قال ﷺ:</w:t>
      </w:r>
    </w:p>
    <w:p>
      <w:pPr>
        <w:pBdr>
          <w:right w:val="single" w:sz="12" w:space="10" w:color="8A6A1F"/>
        </w:pBdr>
        <w:spacing w:before="120" w:after="160" w:line="320" w:lineRule="auto"/>
        <w:ind w:left="504" w:right="504"/>
        <w:jc w:val="both"/>
      </w:pPr>
      <w:r>
        <w:rPr>
          <w:b/>
          <w:bCs/>
          <w:color w:val="1F5C3A"/>
          <w:sz w:val="36"/>
          <w:szCs w:val="36"/>
        </w:rPr>
        <w:t xml:space="preserve">«مَن أَحدَثَ في أمرِنا هذا ما ليس منه فهو ردّ»</w:t>
      </w:r>
      <w:r>
        <w:rPr>
          <w:rStyle w:val="a5"/>
          <w:sz w:val="36"/>
          <w:szCs w:val="36"/>
        </w:rPr>
        <w:footnoteReference w:id="9"/>
      </w:r>
    </w:p>
    <w:p>
      <w:pPr>
        <w:spacing w:after="140" w:line="340" w:lineRule="auto"/>
        <w:jc w:val="both"/>
      </w:pPr>
      <w:r>
        <w:rPr>
          <w:color w:val="1A1A1A"/>
          <w:sz w:val="36"/>
          <w:szCs w:val="36"/>
        </w:rPr>
        <w:t xml:space="preserve">فليست المحبَّةُ الحقيقيةُ أن يُخصَّ يومٌ واحدٌ بإظهارِ الحُبِّ ثم يُهجَرَ هَديُه سائرَ العام؛ إنما المحبَّةُ اتِّباعٌ دائم.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فلا تغُرَّنَّك شعاراتُ المحبَّةِ إن كانت عاريةً عن الاتِّباع؛ فإنّ المحبَّةَ اتِّباع، ومعرفةَ القدرِ اتِّباع.</w:t>
      </w:r>
    </w:p>
    <w:p>
      <w:pPr>
        <w:spacing w:after="140" w:line="340" w:lineRule="auto"/>
        <w:jc w:val="both"/>
      </w:pPr>
      <w:r>
        <w:rPr>
          <w:color w:val="1A1A1A"/>
          <w:sz w:val="36"/>
          <w:szCs w:val="36"/>
        </w:rPr>
        <w:t xml:space="preserve">جعلَنا اللهُ وإياكم ممَّن يتَّبِعون سنَّتَه ويقتَفون أثرَه ويَرِدون عليه الحوضَ يومَ القيامة؛ إنه وليُّ ذلك والقادرُ عليه.</w:t>
      </w:r>
    </w:p>
    <w:p>
      <w:pPr>
        <w:spacing w:after="140" w:line="340" w:lineRule="auto"/>
        <w:jc w:val="both"/>
      </w:pPr>
      <w:r>
        <w:rPr>
          <w:color w:val="1A1A1A"/>
          <w:sz w:val="36"/>
          <w:szCs w:val="36"/>
        </w:rPr>
        <w:t xml:space="preserve">اللهم صلِّ وسلِّمْ وبارِكْ على عبدِك ونبيِّك محمدٍ وعلى آلِه وصحبِه أجمعين. 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جابر بن عبد الله ﵄ في حديثِ حنينِ الجِذع.</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عمرو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عليِّ بن أبي طالبٍ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والنسائيُّ في «الكبرى» من حديث ابن عباس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عمر بن الخطاب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هذه الآثارُ في تعظيمِ التابعينَ وأتباعِهم لحديثِ النبيِّ ﵌؛ رواها القاضي عياضٌ في «الشفا» والخطيبُ في «الجامع لأخلاق الراوي» وأبو نُعيمٍ في «الحلية».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