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الأعمالُ الصالحةُ بعد الموت</w:t>
      </w:r>
    </w:p>
    <w:p>
      <w:pPr>
        <w:spacing w:after="120"/>
      </w:pPr>
      <w:r>
        <w:rPr>
          <w:color w:val="8A6A1F"/>
          <w:sz w:val="36"/>
          <w:szCs w:val="36"/>
        </w:rPr>
        <w:t xml:space="preserve">الحسناتُ الجارية: كيف تستمِرُّ حسناتُك بعد مماتِك؟</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يَجُرُّ قُصْبَه في النار</w:t>
      </w:r>
    </w:p>
    <w:p>
      <w:pPr>
        <w:spacing w:after="140" w:line="340" w:lineRule="auto"/>
        <w:jc w:val="both"/>
      </w:pPr>
      <w:r>
        <w:rPr>
          <w:color w:val="1A1A1A"/>
          <w:sz w:val="36"/>
          <w:szCs w:val="36"/>
        </w:rPr>
        <w:t xml:space="preserve">وبعدُ، أحبَّتي في الله، معاشرَ المصلِّين: مشهدٌ من مشاهدِ الجحيمِ يَقُصُّه علينا النبيُّ الكريمُ ﷺ. رجلٌ يَجُرُّ أمعاءَه في النار! فمن هذا؟ وماذا فعَل؟</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«رأيتُ عمرَو بنَ عامرٍ الخُزاعيَّ يَجُرُّ قُصْبَه في النار؛ كان أوَّلَ من سيَّبَ السَّوائب»</w:t>
      </w:r>
      <w:r>
        <w:rPr>
          <w:rStyle w:val="a5"/>
          <w:sz w:val="36"/>
          <w:szCs w:val="36"/>
        </w:rPr>
        <w:footnoteReference w:id="1"/>
      </w:r>
    </w:p>
    <w:p>
      <w:pPr>
        <w:spacing w:after="140" w:line="340" w:lineRule="auto"/>
        <w:jc w:val="both"/>
      </w:pPr>
      <w:r>
        <w:rPr>
          <w:color w:val="1A1A1A"/>
          <w:sz w:val="36"/>
          <w:szCs w:val="36"/>
        </w:rPr>
        <w:t xml:space="preserve">هذا رجلٌ من جزيرةِ العرب، خرجَ إلى الشامِ فرأى قومًا يعبُدون الأصنام، فقال: ما هذه؟ قالوا: **نستنصِرُها فتنصُرُنا، ونستسقيها فتَسقينا**. فاستخَفَّ قومَه فأطاعوه؛ فعادَ إلى جزيرةِ العربِ بالأصنام، فكان **أوَّلَ من بدَّلَ دينَ إبراهيمَ ﵇** فيهم.</w:t>
      </w:r>
      <w:r>
        <w:rPr>
          <w:rStyle w:val="a5"/>
          <w:sz w:val="36"/>
          <w:szCs w:val="36"/>
        </w:rPr>
        <w:footnoteReference w:id="2"/>
      </w:r>
    </w:p>
    <w:p>
      <w:pPr>
        <w:spacing w:after="140" w:line="340" w:lineRule="auto"/>
        <w:jc w:val="both"/>
      </w:pPr>
      <w:r>
        <w:rPr>
          <w:color w:val="1A1A1A"/>
          <w:sz w:val="36"/>
          <w:szCs w:val="36"/>
        </w:rPr>
        <w:t xml:space="preserve">فاستحقَّ بذلك **سيئاتٍ جارياتٍ** تجري عليه وهو في نارِه.</w:t>
      </w:r>
    </w:p>
    <w:p>
      <w:pPr>
        <w:spacing w:after="140" w:line="340" w:lineRule="auto"/>
        <w:jc w:val="both"/>
      </w:pPr>
      <w:r>
        <w:rPr>
          <w:color w:val="1A1A1A"/>
          <w:sz w:val="36"/>
          <w:szCs w:val="36"/>
        </w:rPr>
        <w:t xml:space="preserve">فما لي ولعمرِو بنِ عامر؟ يا كرام: ستنقطِعُ أنفاسي وتتوقَّفُ صلاتي، وينقطِعُ تسبيحي وقراءتي؛ سأموتُ والكلُّ سيموت. **وحينئذٍ يتمنّى الواحدُ منّا لو أنه ترَكَ حسناتٍ جارياتٍ تجري عليه في قبرِه.**</w:t>
      </w:r>
    </w:p>
    <w:p>
      <w:pPr>
        <w:spacing w:after="140" w:line="340" w:lineRule="auto"/>
        <w:jc w:val="both"/>
      </w:pPr>
      <w:r>
        <w:rPr>
          <w:color w:val="1A1A1A"/>
          <w:sz w:val="36"/>
          <w:szCs w:val="36"/>
        </w:rPr>
        <w:t xml:space="preserve">فحديثي اليومَ عن **الأعمالِ التي تُقدِّمُها لنفسِك بعد موتِك**.</w:t>
      </w:r>
    </w:p>
    <w:p>
      <w:pPr>
        <w:spacing w:before="260" w:after="120"/>
      </w:pPr>
      <w:r>
        <w:rPr>
          <w:b/>
          <w:bCs/>
          <w:color w:val="1F5C3A"/>
          <w:sz w:val="36"/>
          <w:szCs w:val="36"/>
        </w:rPr>
        <w:t xml:space="preserve">أولًا: صدقةٌ جارية</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«إذا ماتَ الإنسانُ انقطعَ عنه عملُه إلا من ثلاث: صدقةٍ جارية، أو عِلمٍ يُنتفَعُ به، أو ولدٍ صالحٍ يدعو له»</w:t>
      </w:r>
      <w:r>
        <w:rPr>
          <w:rStyle w:val="a5"/>
          <w:sz w:val="36"/>
          <w:szCs w:val="36"/>
        </w:rPr>
        <w:footnoteReference w:id="3"/>
      </w:r>
    </w:p>
    <w:p>
      <w:pPr>
        <w:spacing w:after="140" w:line="340" w:lineRule="auto"/>
        <w:jc w:val="both"/>
      </w:pPr>
      <w:r>
        <w:rPr>
          <w:color w:val="1A1A1A"/>
          <w:sz w:val="36"/>
          <w:szCs w:val="36"/>
        </w:rPr>
        <w:t xml:space="preserve">والصدقةُ الجارية: التي يُحبَسُ أصلُها وتُسبَّلُ منافعُها؛ تبقى إلى ما شاء الله. فاحرِصْ على مسجدٍ تبنيه أو تضَعُ لَبِنةً فيه، وبئرِ ماءٍ تحفِرُه أو تُساعِدُ على إخراجِ قطرةِ ماءٍ منه.</w:t>
      </w:r>
    </w:p>
    <w:p>
      <w:pPr>
        <w:spacing w:after="140" w:line="340" w:lineRule="auto"/>
        <w:jc w:val="both"/>
      </w:pPr>
      <w:r>
        <w:rPr>
          <w:color w:val="1A1A1A"/>
          <w:sz w:val="36"/>
          <w:szCs w:val="36"/>
        </w:rPr>
        <w:t xml:space="preserve">**ولا تنتظِرْ ولدًا يتصدَّقُ عنك؛ فاللهُ أعلمُ بهذا الولد.** وإيّاك أن تُوصيَ بإقامةِ الولائمِ الفاخرةِ في عزائك؛ بل كُنْ عاقلًا: احفِرْ بئرًا وابنِ مسجدًا تستظِلُّ بظِلالِه في عالي الجنّات.</w:t>
      </w:r>
    </w:p>
    <w:p>
      <w:pPr>
        <w:spacing w:after="140" w:line="340" w:lineRule="auto"/>
        <w:jc w:val="both"/>
      </w:pPr>
      <w:r>
        <w:rPr>
          <w:color w:val="1A1A1A"/>
          <w:sz w:val="36"/>
          <w:szCs w:val="36"/>
        </w:rPr>
        <w:t xml:space="preserve">وإني لَأعجَبُ ممَّن يبلُغُ الستينَ والسبعينَ ثم يموتُ ولم يترُكْ صدقةً جاريةً واحدة! فاسأَلْ نفسَك: كم بئرًا حفَرت؟ وكم مسجدًا ساهمتَ فيه؟</w:t>
      </w:r>
    </w:p>
    <w:p>
      <w:pPr>
        <w:spacing w:before="260" w:after="120"/>
      </w:pPr>
      <w:r>
        <w:rPr>
          <w:b/>
          <w:bCs/>
          <w:color w:val="1F5C3A"/>
          <w:sz w:val="36"/>
          <w:szCs w:val="36"/>
        </w:rPr>
        <w:t xml:space="preserve">ثانيًا: عِلمٌ يُنتفَعُ به</w:t>
      </w:r>
    </w:p>
    <w:p>
      <w:pPr>
        <w:spacing w:after="140" w:line="340" w:lineRule="auto"/>
        <w:jc w:val="both"/>
      </w:pPr>
      <w:r>
        <w:rPr>
          <w:color w:val="1A1A1A"/>
          <w:sz w:val="36"/>
          <w:szCs w:val="36"/>
        </w:rPr>
        <w:t xml:space="preserve">ولستُ أُخاطِبُ العلماءَ والدعاةَ والخطباءَ فحسبُ، بل أُخاطِبُ الأمَّةَ كلَّها: احرِصْ على **عقيدةٍ صحيحةٍ تُقيمُها، وتوحيدٍ سليمٍ تُرسي دعائمَه، وسُنَّةٍ نبويةٍ تَنشُرُها**؛ فيجري أجرُها عليك في قبرِك. قال ﷺ:</w:t>
      </w:r>
    </w:p>
    <w:p>
      <w:pPr>
        <w:pBdr>
          <w:right w:val="single" w:sz="12" w:space="10" w:color="8A6A1F"/>
        </w:pBdr>
        <w:spacing w:before="120" w:after="160" w:line="320" w:lineRule="auto"/>
        <w:ind w:left="504" w:right="504"/>
        <w:jc w:val="both"/>
      </w:pPr>
      <w:r>
        <w:rPr>
          <w:b/>
          <w:bCs/>
          <w:color w:val="1F5C3A"/>
          <w:sz w:val="36"/>
          <w:szCs w:val="36"/>
        </w:rPr>
        <w:t xml:space="preserve">«مَن دعا إلى هُدًى كان له من الأجرِ مثلُ أجورِ من تبِعَه، لا يَنقُصُ ذلك من أجورِهم شيئًا»</w:t>
      </w:r>
      <w:r>
        <w:rPr>
          <w:rStyle w:val="a5"/>
          <w:sz w:val="36"/>
          <w:szCs w:val="36"/>
        </w:rPr>
        <w:footnoteReference w:id="4"/>
      </w:r>
    </w:p>
    <w:p>
      <w:pPr>
        <w:spacing w:after="140" w:line="340" w:lineRule="auto"/>
        <w:jc w:val="both"/>
      </w:pPr>
      <w:r>
        <w:rPr>
          <w:color w:val="1A1A1A"/>
          <w:sz w:val="36"/>
          <w:szCs w:val="36"/>
        </w:rPr>
        <w:t xml:space="preserve">**تخيَّلْ**: عقيدةٌ فاسدةٌ تُبطِلُها فتُقيمُ مكانَها توحيدًا صافيًا! بدعةٌ مُحدَثةٌ تُبطِلُها فتُقيمُ مكانَها سُنَّةً مُطهَّرة!</w:t>
      </w:r>
    </w:p>
    <w:p>
      <w:pPr>
        <w:spacing w:after="140" w:line="340" w:lineRule="auto"/>
        <w:jc w:val="both"/>
      </w:pPr>
      <w:r>
        <w:rPr>
          <w:color w:val="1A1A1A"/>
          <w:sz w:val="36"/>
          <w:szCs w:val="36"/>
        </w:rPr>
        <w:t xml:space="preserve">واليومَ مَنَّ اللهُ علينا بهذه الأجهزة؛ فتستطيعُ أن تنشُرَ حديثًا صحيحًا أو آيةً تُذكِّرُ بها أو أمرًا بمعروفٍ ونهيًا عن مُنكَر. **يا قارئَ القرآن، يا من تُحسِنُ الوُضوءَ وتُتقِنُ صفةَ الصلاة، يا من تعرِفُ أبجدياتِ التوحيد**: هل علَّمتَ أحدًا كيف يقرأُ الفاتحة؟ هل علَّمتَ أحدًا كيف يتوضَّأ؟</w:t>
      </w:r>
    </w:p>
    <w:p>
      <w:pPr>
        <w:spacing w:after="140" w:line="340" w:lineRule="auto"/>
        <w:jc w:val="both"/>
      </w:pPr>
      <w:r>
        <w:rPr>
          <w:color w:val="1A1A1A"/>
          <w:sz w:val="36"/>
          <w:szCs w:val="36"/>
        </w:rPr>
        <w:t xml:space="preserve">**وعلى النقيض:** احذَرْ أن تُغادِرَ الدنيا وقد تركتَ **سيئاتٍ جارياتٍ**؛ مقاطعَ محرَّماتٍ نشرتَها فتراها في صحيفتِك فتقول: يا ربِّ ما فعَلتُها! ولكنّك **نشرتَ وشاركتَ ودعَمتَ وبثَثت**. فما أكثرَ من يهدِمُ العقائدَ ويُفسِدُ الأخلاقَ بمقطعٍ في دقيقة!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أيها الكرام:</w:t>
      </w:r>
    </w:p>
    <w:p>
      <w:pPr>
        <w:spacing w:before="260" w:after="120"/>
      </w:pPr>
      <w:r>
        <w:rPr>
          <w:b/>
          <w:bCs/>
          <w:color w:val="1F5C3A"/>
          <w:sz w:val="36"/>
          <w:szCs w:val="36"/>
        </w:rPr>
        <w:t xml:space="preserve">ثالثًا: ولدٌ صالحٌ يدعو له</w:t>
      </w:r>
    </w:p>
    <w:p>
      <w:pPr>
        <w:spacing w:after="140" w:line="340" w:lineRule="auto"/>
        <w:jc w:val="both"/>
      </w:pPr>
      <w:r>
        <w:rPr>
          <w:color w:val="1A1A1A"/>
          <w:sz w:val="36"/>
          <w:szCs w:val="36"/>
        </w:rPr>
        <w:t xml:space="preserve">فأنت تملِكُ ـ بإذنِ اللهِ ـ **صلاحَ ولدِك**؛ فاحرِصْ على تصحيحِ توحيدِه وإقامةِ صلاتِه، وعلى أن تكونَ ذُرِّيَّتُك ذُرِّيَّةً صالحةً طائعة. قال ﷺ:</w:t>
      </w:r>
    </w:p>
    <w:p>
      <w:pPr>
        <w:pBdr>
          <w:right w:val="single" w:sz="12" w:space="10" w:color="8A6A1F"/>
        </w:pBdr>
        <w:spacing w:before="120" w:after="160" w:line="320" w:lineRule="auto"/>
        <w:ind w:left="504" w:right="504"/>
        <w:jc w:val="both"/>
      </w:pPr>
      <w:r>
        <w:rPr>
          <w:b/>
          <w:bCs/>
          <w:color w:val="1F5C3A"/>
          <w:sz w:val="36"/>
          <w:szCs w:val="36"/>
        </w:rPr>
        <w:t xml:space="preserve">«إنّ اللهَ ﷿ لَيرفَعُ الدرجةَ للعبدِ الصالحِ في الجنَّة، فيقول: يا ربِّ، أنّى لي هذه؟ فيقول: باستغفارِ ولدِك لك»</w:t>
      </w:r>
      <w:r>
        <w:rPr>
          <w:rStyle w:val="a5"/>
          <w:sz w:val="36"/>
          <w:szCs w:val="36"/>
        </w:rPr>
        <w:footnoteReference w:id="5"/>
      </w:r>
    </w:p>
    <w:p>
      <w:pPr>
        <w:spacing w:after="140" w:line="340" w:lineRule="auto"/>
        <w:jc w:val="both"/>
      </w:pPr>
      <w:r>
        <w:rPr>
          <w:color w:val="1A1A1A"/>
          <w:sz w:val="36"/>
          <w:szCs w:val="36"/>
        </w:rPr>
        <w:t xml:space="preserve">**فكم درجةً رفَعتَ والدَيك بصلاحِك واستغفارِك؟**</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«إنّ ممّا يَلحَقُ المؤمنَ من عملِه وحسناتِه بعد موتِه: عِلمًا علَّمَه ونشَرَه، وولدًا صالحًا ترَكَه، ومُصحَفًا ورَّثَه، أو مسجدًا بناه، أو بيتًا لابنِ السبيلِ بناه، أو نهرًا أجراه، أو صدقةً أخرجَها من مالِه في صحَّتِه وحياتِه ـ تَلحَقُه من بعد موتِه»</w:t>
      </w:r>
      <w:r>
        <w:rPr>
          <w:rStyle w:val="a5"/>
          <w:sz w:val="36"/>
          <w:szCs w:val="36"/>
        </w:rPr>
        <w:footnoteReference w:id="6"/>
      </w:r>
    </w:p>
    <w:p>
      <w:pPr>
        <w:spacing w:after="140" w:line="340" w:lineRule="auto"/>
        <w:jc w:val="both"/>
      </w:pPr>
      <w:r>
        <w:rPr>
          <w:color w:val="1A1A1A"/>
          <w:sz w:val="36"/>
          <w:szCs w:val="36"/>
        </w:rPr>
        <w:t xml:space="preserve">فتأمَّلْ هذه الأبواب: عِلمٌ، وولد، ومُصحَف، ومسجد، وبيتٌ لابنِ السبيل، ونهر، وصدقة. **والكلُّ يقوى على واحدٍ منها على الأقلّ!**</w:t>
      </w:r>
    </w:p>
    <w:p>
      <w:pPr>
        <w:spacing w:after="140" w:line="340" w:lineRule="auto"/>
        <w:jc w:val="both"/>
      </w:pPr>
      <w:r>
        <w:rPr>
          <w:color w:val="1A1A1A"/>
          <w:sz w:val="36"/>
          <w:szCs w:val="36"/>
        </w:rPr>
        <w:t xml:space="preserve">**فأيها العاقل: ولدُك امتدادٌ لعملِك؛ فأَحسِنْ تربيتَه.** واللهَ اللهَ في أمرِهم بالمعروفِ ونهيِهم عن المنكر؛ فإنّ البنينَ والبناتِ أنهارُ حسناتٍ جارياتٍ عليك في قبرِك.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فاسأَلْ نفسَك اليوم ـ قبل أن يأتيَ ملَكُ الموتِ فيُؤذِنَ رُوحَك بالخروج، فلا صلاةَ بعد اليومِ ولا صيامَ ولا قراءةَ قرآن: **ما الذي تركتُه ورائي؟**</w:t>
      </w:r>
    </w:p>
    <w:p>
      <w:pPr>
        <w:spacing w:after="140" w:line="340" w:lineRule="auto"/>
        <w:jc w:val="both"/>
      </w:pPr>
      <w:r>
        <w:rPr>
          <w:color w:val="1A1A1A"/>
          <w:sz w:val="36"/>
          <w:szCs w:val="36"/>
        </w:rPr>
        <w:t xml:space="preserve">جعلَنا اللهُ وإياكم ممَّن إذا ماتوا تركوا عِلمًا نافعًا وصدقةً جاريةً وذُرِّيَّةً صالحة؛ إنه وليُّ ذلك والقادرُ عليه.</w:t>
      </w:r>
    </w:p>
    <w:p>
      <w:pPr>
        <w:spacing w:after="140" w:line="340" w:lineRule="auto"/>
        <w:jc w:val="both"/>
      </w:pPr>
      <w:r>
        <w:rPr>
          <w:color w:val="1A1A1A"/>
          <w:sz w:val="36"/>
          <w:szCs w:val="36"/>
        </w:rPr>
        <w:t xml:space="preserve">اللهم اجعَلْنا وذُرِّيّاتِنا ووالدِينا في عالي الفردوس. 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و«القُصْب»: الأمعاء. (وقد جاء في التسجيلِ «عمرو بن لُحَيّ»، وهو المشهورُ في كتبِ السِّيَر؛ واسمُه في «الصحيحين»: عمرو بن عامر، ولُحَيٌّ من أجدادِه.)</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الجاهليةِ التي ذكرَها ابنُ إسحاقَ في «السيرة» وابنُ هشامٍ وابنُ كثيرٍ في «البداية»؛ وأصلُ الحكمِ عليه ثابتٌ في «الصحيحين».</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وابنُ ماجه من حديث أبي هريرة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ماجه من حديث أبي هريرة ﵁، وحسَّنه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