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الأعمالُ التي يصلُ ثوابُها إلى الميّت</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بِرُّ الصادقين يبدأُ بعد الموت</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لستُ في صدد تجديد الأحزان وتحريكِ مآقي العيون</w:t>
      </w:r>
      <w:r>
        <w:rPr>
          <w:rFonts w:ascii="Traditional Arabic" w:cs="Traditional Arabic" w:eastAsia="Traditional Arabic" w:hAnsi="Traditional Arabic"/>
          <w:b w:val="false"/>
          <w:bCs w:val="false"/>
          <w:i w:val="false"/>
          <w:iCs w:val="false"/>
          <w:sz w:val="28"/>
          <w:szCs w:val="28"/>
          <w:rtl/>
        </w:rPr>
        <w:t xml:space="preserve">؛ فالكلُّ في كلِّ عامٍ يودّع أحبابًا: أبًا أو أمًّا، أخًا أو أختًا، أو قريبًا من قلبه. </w:t>
      </w:r>
      <w:r>
        <w:rPr>
          <w:rFonts w:ascii="Traditional Arabic" w:cs="Traditional Arabic" w:eastAsia="Traditional Arabic" w:hAnsi="Traditional Arabic"/>
          <w:b/>
          <w:bCs/>
          <w:i w:val="false"/>
          <w:iCs w:val="false"/>
          <w:sz w:val="28"/>
          <w:szCs w:val="28"/>
          <w:rtl/>
        </w:rPr>
        <w:t xml:space="preserve">ولكنّ الأمواتَ انقطعت أعمالُهم</w:t>
      </w:r>
      <w:r>
        <w:rPr>
          <w:rFonts w:ascii="Traditional Arabic" w:cs="Traditional Arabic" w:eastAsia="Traditional Arabic" w:hAnsi="Traditional Arabic"/>
          <w:b w:val="false"/>
          <w:bCs w:val="false"/>
          <w:i w:val="false"/>
          <w:iCs w:val="false"/>
          <w:sz w:val="28"/>
          <w:szCs w:val="28"/>
          <w:rtl/>
        </w:rPr>
        <w:t xml:space="preserve">؛ ما عادوا يُصلّون، ولا يُسبِّحون، ولا يتسابقون إلى الصفوف الأُوَل.</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وإنّي أعلم أنّك للميّت حبيب — </w:t>
      </w:r>
      <w:r>
        <w:rPr>
          <w:rFonts w:ascii="Traditional Arabic" w:cs="Traditional Arabic" w:eastAsia="Traditional Arabic" w:hAnsi="Traditional Arabic"/>
          <w:b/>
          <w:bCs/>
          <w:i w:val="false"/>
          <w:iCs w:val="false"/>
          <w:sz w:val="28"/>
          <w:szCs w:val="28"/>
          <w:rtl/>
        </w:rPr>
        <w:t xml:space="preserve">ولكنْ هل ينتفع الميّتُ من هذا الحزن ومن تلك الدموع؟</w:t>
      </w:r>
      <w:r>
        <w:rPr>
          <w:rFonts w:ascii="Traditional Arabic" w:cs="Traditional Arabic" w:eastAsia="Traditional Arabic" w:hAnsi="Traditional Arabic"/>
          <w:b w:val="false"/>
          <w:bCs w:val="false"/>
          <w:i w:val="false"/>
          <w:iCs w:val="false"/>
          <w:sz w:val="28"/>
          <w:szCs w:val="28"/>
          <w:rtl/>
        </w:rPr>
        <w:t xml:space="preserve"> كلّا؛ </w:t>
      </w:r>
      <w:r>
        <w:rPr>
          <w:rFonts w:ascii="Traditional Arabic" w:cs="Traditional Arabic" w:eastAsia="Traditional Arabic" w:hAnsi="Traditional Arabic"/>
          <w:b/>
          <w:bCs/>
          <w:i w:val="false"/>
          <w:iCs w:val="false"/>
          <w:sz w:val="28"/>
          <w:szCs w:val="28"/>
          <w:rtl/>
        </w:rPr>
        <w:t xml:space="preserve">إنّ ميّتَك في أمسِّ الحاجة الآن إلى أعمالٍ ينتفعُ بها</w:t>
      </w:r>
      <w:r>
        <w:rPr>
          <w:rFonts w:ascii="Traditional Arabic" w:cs="Traditional Arabic" w:eastAsia="Traditional Arabic" w:hAnsi="Traditional Arabic"/>
          <w:b w:val="false"/>
          <w:bCs w:val="false"/>
          <w:i w:val="false"/>
          <w:iCs w:val="false"/>
          <w:sz w:val="28"/>
          <w:szCs w:val="28"/>
          <w:rtl/>
        </w:rPr>
        <w:t xml:space="preserve"> — لا إلى صورةٍ تُعلَّق ولا إلى ذكرٍ في المجالس.</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الأول: الدعاء</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وهو أوّلُها </w:t>
      </w:r>
      <w:r>
        <w:rPr>
          <w:rFonts w:ascii="Traditional Arabic" w:cs="Traditional Arabic" w:eastAsia="Traditional Arabic" w:hAnsi="Traditional Arabic"/>
          <w:b/>
          <w:bCs/>
          <w:i w:val="false"/>
          <w:iCs w:val="false"/>
          <w:sz w:val="28"/>
          <w:szCs w:val="28"/>
          <w:rtl/>
        </w:rPr>
        <w:t xml:space="preserve">لأنّه يسيرٌ، ولأنّ العلماء أجمعوا على أنّ الميّت ينتفع به</w:t>
      </w:r>
      <w:r>
        <w:rPr>
          <w:rFonts w:ascii="Traditional Arabic" w:cs="Traditional Arabic" w:eastAsia="Traditional Arabic" w:hAnsi="Traditional Arabic"/>
          <w:b w:val="false"/>
          <w:bCs w:val="false"/>
          <w:i w:val="false"/>
          <w:iCs w:val="false"/>
          <w:sz w:val="28"/>
          <w:szCs w:val="28"/>
          <w:rtl/>
        </w:rPr>
        <w:t xml:space="preserve">. قال ﷺ: </w:t>
      </w:r>
      <w:r>
        <w:rPr>
          <w:rFonts w:ascii="Traditional Arabic" w:cs="Traditional Arabic" w:eastAsia="Traditional Arabic" w:hAnsi="Traditional Arabic"/>
          <w:b/>
          <w:bCs/>
          <w:i w:val="false"/>
          <w:iCs w:val="false"/>
          <w:sz w:val="28"/>
          <w:szCs w:val="28"/>
          <w:rtl/>
        </w:rPr>
        <w:t xml:space="preserve">«إذا مات ابنُ آدم انقطع عملُه إلا من ثلاث: صدقةٍ جارية، أو علمٍ يُنتفَع به، أو ولدٍ صالحٍ يدعو له»</w:t>
      </w:r>
      <w:r>
        <w:rPr>
          <w:rFonts w:ascii="Traditional Arabic" w:cs="Traditional Arabic" w:eastAsia="Traditional Arabic" w:hAnsi="Traditional Arabic"/>
          <w:b w:val="false"/>
          <w:bCs w:val="false"/>
          <w:i w:val="false"/>
          <w:iCs w:val="false"/>
          <w:sz w:val="28"/>
          <w:szCs w:val="28"/>
          <w:rtl/>
        </w:rPr>
        <w:t xml:space="preserve">. رواه مسلم. </w:t>
      </w:r>
      <w:r>
        <w:rPr>
          <w:rFonts w:ascii="Traditional Arabic" w:cs="Traditional Arabic" w:eastAsia="Traditional Arabic" w:hAnsi="Traditional Arabic"/>
          <w:b/>
          <w:bCs/>
          <w:i w:val="false"/>
          <w:iCs w:val="false"/>
          <w:sz w:val="28"/>
          <w:szCs w:val="28"/>
          <w:rtl/>
        </w:rPr>
        <w:t xml:space="preserve">فالأبُ والأمُّ — بل كلُّ مسلمٍ مات — ينتفع بدعائك</w:t>
      </w:r>
      <w:r>
        <w:rPr>
          <w:rFonts w:ascii="Traditional Arabic" w:cs="Traditional Arabic" w:eastAsia="Traditional Arabic" w:hAnsi="Traditional Arabic"/>
          <w:b w:val="false"/>
          <w:bCs w:val="false"/>
          <w:i w:val="false"/>
          <w:iCs w:val="false"/>
          <w:sz w:val="28"/>
          <w:szCs w:val="28"/>
          <w:rtl/>
        </w:rPr>
        <w:t xml:space="preserve">؛ كما قال تعالى حاكيًا دعاء المؤمنين: </w:t>
      </w:r>
      <w:r>
        <w:rPr>
          <w:rFonts w:ascii="Traditional Arabic" w:cs="Traditional Arabic" w:eastAsia="Traditional Arabic" w:hAnsi="Traditional Arabic"/>
          <w:b/>
          <w:bCs/>
          <w:i w:val="false"/>
          <w:iCs w:val="false"/>
          <w:sz w:val="28"/>
          <w:szCs w:val="28"/>
          <w:rtl/>
        </w:rPr>
        <w:t xml:space="preserve">﴿رَبَّنَا اغْفِرْ لَنَا وَلِإِخْوَانِنَا الَّذِينَ سَبَقُونَا بِالْإِيمَانِ﴾</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ويُخبرنا ﷺ أنّ </w:t>
      </w:r>
      <w:r>
        <w:rPr>
          <w:rFonts w:ascii="Traditional Arabic" w:cs="Traditional Arabic" w:eastAsia="Traditional Arabic" w:hAnsi="Traditional Arabic"/>
          <w:b/>
          <w:bCs/>
          <w:i w:val="false"/>
          <w:iCs w:val="false"/>
          <w:sz w:val="28"/>
          <w:szCs w:val="28"/>
          <w:rtl/>
        </w:rPr>
        <w:t xml:space="preserve">العبدَ تُرفَع درجتُه في الجنّة فيقول: أنّى لي هذه؟ فيُقال: باستغفار ولدِك لك</w:t>
      </w:r>
      <w:r>
        <w:rPr>
          <w:rStyle w:val="FootnoteReference"/>
        </w:rPr>
        <w:footnoteReference w:id="1"/>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فكم مرّةً تدعو لأبيك ولأمّك في اليوم؟</w:t>
      </w:r>
      <w:r>
        <w:rPr>
          <w:rFonts w:ascii="Traditional Arabic" w:cs="Traditional Arabic" w:eastAsia="Traditional Arabic" w:hAnsi="Traditional Arabic"/>
          <w:b w:val="false"/>
          <w:bCs w:val="false"/>
          <w:i w:val="false"/>
          <w:iCs w:val="false"/>
          <w:sz w:val="28"/>
          <w:szCs w:val="28"/>
          <w:rtl/>
        </w:rPr>
        <w:t xml:space="preserve"> بل لعلّ بعضنا لا يُحرّك لسانَه البتّة — </w:t>
      </w:r>
      <w:r>
        <w:rPr>
          <w:rFonts w:ascii="Traditional Arabic" w:cs="Traditional Arabic" w:eastAsia="Traditional Arabic" w:hAnsi="Traditional Arabic"/>
          <w:b/>
          <w:bCs/>
          <w:i w:val="false"/>
          <w:iCs w:val="false"/>
          <w:sz w:val="28"/>
          <w:szCs w:val="28"/>
          <w:rtl/>
        </w:rPr>
        <w:t xml:space="preserve">وإنّ هذا من أعظم العقوق بعد الموت</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فيا من لا تستطيع الجهادَ ولا تملك المال: </w:t>
      </w:r>
      <w:r>
        <w:rPr>
          <w:rFonts w:ascii="Traditional Arabic" w:cs="Traditional Arabic" w:eastAsia="Traditional Arabic" w:hAnsi="Traditional Arabic"/>
          <w:b/>
          <w:bCs/>
          <w:i w:val="false"/>
          <w:iCs w:val="false"/>
          <w:sz w:val="28"/>
          <w:szCs w:val="28"/>
          <w:rtl/>
        </w:rPr>
        <w:t xml:space="preserve">لسانُك ليس ضعيفًا! إنّه يلوك في أعراض المسلمين ويخوض في القيل والقال — فلِمَ ينعقدُ عن دعاءٍ يثبُت به الأمواتُ في قبورهم؟</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الثاني: الصدقة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وينتفع بها الأمواتُ من القريب والبعيد، </w:t>
      </w:r>
      <w:r>
        <w:rPr>
          <w:rFonts w:ascii="Traditional Arabic" w:cs="Traditional Arabic" w:eastAsia="Traditional Arabic" w:hAnsi="Traditional Arabic"/>
          <w:b/>
          <w:bCs/>
          <w:i w:val="false"/>
          <w:iCs w:val="false"/>
          <w:sz w:val="28"/>
          <w:szCs w:val="28"/>
          <w:rtl/>
        </w:rPr>
        <w:t xml:space="preserve">وهذا بإجماع المسلمين</w:t>
      </w:r>
      <w:r>
        <w:rPr>
          <w:rFonts w:ascii="Traditional Arabic" w:cs="Traditional Arabic" w:eastAsia="Traditional Arabic" w:hAnsi="Traditional Arabic"/>
          <w:b w:val="false"/>
          <w:bCs w:val="false"/>
          <w:i w:val="false"/>
          <w:iCs w:val="false"/>
          <w:sz w:val="28"/>
          <w:szCs w:val="28"/>
          <w:rtl/>
        </w:rPr>
        <w:t xml:space="preserve">. ففي «الصحيح» عن عائشة ﵂ أنّ رجلًا قال: يا رسولَ الله، </w:t>
      </w:r>
      <w:r>
        <w:rPr>
          <w:rFonts w:ascii="Traditional Arabic" w:cs="Traditional Arabic" w:eastAsia="Traditional Arabic" w:hAnsi="Traditional Arabic"/>
          <w:b/>
          <w:bCs/>
          <w:i w:val="false"/>
          <w:iCs w:val="false"/>
          <w:sz w:val="28"/>
          <w:szCs w:val="28"/>
          <w:rtl/>
        </w:rPr>
        <w:t xml:space="preserve">إنّ أمّي افتُلِتت نفسُها ولم تُوصِ، وأظنّها لو تكلّمت تصدّقت — أفلها أجرٌ إن تصدّقتُ عنها؟ قال: «نعم»</w:t>
      </w:r>
      <w:r>
        <w:rPr>
          <w:rFonts w:ascii="Traditional Arabic" w:cs="Traditional Arabic" w:eastAsia="Traditional Arabic" w:hAnsi="Traditional Arabic"/>
          <w:b w:val="false"/>
          <w:bCs w:val="false"/>
          <w:i w:val="false"/>
          <w:iCs w:val="false"/>
          <w:sz w:val="28"/>
          <w:szCs w:val="28"/>
          <w:rtl/>
        </w:rPr>
        <w:t xml:space="preserve">. متفقٌ عليه.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وجاء سعدُ بنُ عبادة ﵁ فقال: يا رسولَ الله، إنّ أمّي ماتت وأنا غائبٌ عنها، أينفعُها شيءٌ إن تصدّقتُ به عنها؟ قال: «نعم». </w:t>
      </w:r>
      <w:r>
        <w:rPr>
          <w:rFonts w:ascii="Traditional Arabic" w:cs="Traditional Arabic" w:eastAsia="Traditional Arabic" w:hAnsi="Traditional Arabic"/>
          <w:b/>
          <w:bCs/>
          <w:i w:val="false"/>
          <w:iCs w:val="false"/>
          <w:sz w:val="28"/>
          <w:szCs w:val="28"/>
          <w:rtl/>
        </w:rPr>
        <w:t xml:space="preserve">فاسمعْ مقالة سعدٍ أيها البخيلُ عن أبيك وأمّك: فإنّي أُشهدك أنّ حائطي المِخْرافَ صدقةٌ عنها!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فمَن منّا ممّن أغناه اللهُ يقول: يا ربِّ أُشهدك أنّ راتبَ شهر كذا صدقةٌ عن أبي؟</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وسأله ﵁: </w:t>
      </w:r>
      <w:r>
        <w:rPr>
          <w:rFonts w:ascii="Traditional Arabic" w:cs="Traditional Arabic" w:eastAsia="Traditional Arabic" w:hAnsi="Traditional Arabic"/>
          <w:b/>
          <w:bCs/>
          <w:i w:val="false"/>
          <w:iCs w:val="false"/>
          <w:sz w:val="28"/>
          <w:szCs w:val="28"/>
          <w:rtl/>
        </w:rPr>
        <w:t xml:space="preserve">وأيُّ الصدقة أفضل؟ قال: «سقيُ الماء»</w:t>
      </w:r>
      <w:r>
        <w:rPr>
          <w:rStyle w:val="FootnoteReference"/>
        </w:rPr>
        <w:footnoteReference w:id="2"/>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فأهلُ غزّة اليوم في أمسِّ الحاجة إلى صدقاتنا — يموتون جوعًا!</w:t>
      </w:r>
      <w:r>
        <w:rPr>
          <w:rFonts w:ascii="Traditional Arabic" w:cs="Traditional Arabic" w:eastAsia="Traditional Arabic" w:hAnsi="Traditional Arabic"/>
          <w:b w:val="false"/>
          <w:bCs w:val="false"/>
          <w:i w:val="false"/>
          <w:iCs w:val="false"/>
          <w:sz w:val="28"/>
          <w:szCs w:val="28"/>
          <w:rtl/>
        </w:rPr>
        <w:t xml:space="preserve"> فتصدَّقْ عن نفسك وعن والديك، ولا تستقلَّ شيئًا.</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الثالث: صلاحُ الولد في نفسه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فمعصيتُك عقوقٌ لأبيك بعد موته! </w:t>
      </w:r>
      <w:r>
        <w:rPr>
          <w:rFonts w:ascii="Traditional Arabic" w:cs="Traditional Arabic" w:eastAsia="Traditional Arabic" w:hAnsi="Traditional Arabic"/>
          <w:b/>
          <w:bCs/>
          <w:i w:val="false"/>
          <w:iCs w:val="false"/>
          <w:sz w:val="28"/>
          <w:szCs w:val="28"/>
          <w:rtl/>
        </w:rPr>
        <w:t xml:space="preserve">وكثيرٌ يسأل: كنتُ عاصيًا ومات أبي وأنا عاصٍ، فماذا أصنع؟ فأقول: أصلِحْ نفسَك</w:t>
      </w:r>
      <w:r>
        <w:rPr>
          <w:rFonts w:ascii="Traditional Arabic" w:cs="Traditional Arabic" w:eastAsia="Traditional Arabic" w:hAnsi="Traditional Arabic"/>
          <w:b w:val="false"/>
          <w:bCs w:val="false"/>
          <w:i w:val="false"/>
          <w:iCs w:val="false"/>
          <w:sz w:val="28"/>
          <w:szCs w:val="28"/>
          <w:rtl/>
        </w:rPr>
        <w:t xml:space="preserve">؛ فإنّ صلاحَك شرطٌ في نفع دعائك — </w:t>
      </w:r>
      <w:r>
        <w:rPr>
          <w:rFonts w:ascii="Traditional Arabic" w:cs="Traditional Arabic" w:eastAsia="Traditional Arabic" w:hAnsi="Traditional Arabic"/>
          <w:b/>
          <w:bCs/>
          <w:i w:val="false"/>
          <w:iCs w:val="false"/>
          <w:sz w:val="28"/>
          <w:szCs w:val="28"/>
          <w:rtl/>
        </w:rPr>
        <w:t xml:space="preserve">قال ﷺ: «أو ولدٍ صالحٍ يدعو له»</w:t>
      </w:r>
      <w:r>
        <w:rPr>
          <w:rFonts w:ascii="Traditional Arabic" w:cs="Traditional Arabic" w:eastAsia="Traditional Arabic" w:hAnsi="Traditional Arabic"/>
          <w:b w:val="false"/>
          <w:bCs w:val="false"/>
          <w:i w:val="false"/>
          <w:iCs w:val="false"/>
          <w:sz w:val="28"/>
          <w:szCs w:val="28"/>
          <w:rtl/>
        </w:rPr>
        <w:t xml:space="preserve">. وقال: </w:t>
      </w:r>
      <w:r>
        <w:rPr>
          <w:rFonts w:ascii="Traditional Arabic" w:cs="Traditional Arabic" w:eastAsia="Traditional Arabic" w:hAnsi="Traditional Arabic"/>
          <w:b/>
          <w:bCs/>
          <w:i w:val="false"/>
          <w:iCs w:val="false"/>
          <w:sz w:val="28"/>
          <w:szCs w:val="28"/>
          <w:rtl/>
        </w:rPr>
        <w:t xml:space="preserve">«إنّ ممّا يلحقُ المؤمنَ من عمله وحسناته بعد موته: عِلمًا نشره، وولدًا صالحًا تركه»</w:t>
      </w:r>
      <w:r>
        <w:rPr>
          <w:rStyle w:val="FootnoteReference"/>
        </w:rPr>
        <w:footnoteReference w:id="3"/>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الرابع: العلمُ النافع</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فاحرِصْ أن تكون منارةً للخير؛ </w:t>
      </w:r>
      <w:r>
        <w:rPr>
          <w:rFonts w:ascii="Traditional Arabic" w:cs="Traditional Arabic" w:eastAsia="Traditional Arabic" w:hAnsi="Traditional Arabic"/>
          <w:b/>
          <w:bCs/>
          <w:i w:val="false"/>
          <w:iCs w:val="false"/>
          <w:sz w:val="28"/>
          <w:szCs w:val="28"/>
          <w:rtl/>
        </w:rPr>
        <w:t xml:space="preserve">فإنّ العلمَ يبقى ولا يموت: والناسُ موتى وأهلُ العلم أحياء</w:t>
      </w:r>
      <w:r>
        <w:rPr>
          <w:rFonts w:ascii="Traditional Arabic" w:cs="Traditional Arabic" w:eastAsia="Traditional Arabic" w:hAnsi="Traditional Arabic"/>
          <w:b w:val="false"/>
          <w:bCs w:val="false"/>
          <w:i w:val="false"/>
          <w:iCs w:val="false"/>
          <w:sz w:val="28"/>
          <w:szCs w:val="28"/>
          <w:rtl/>
        </w:rPr>
        <w:t xml:space="preserve">. واجعل صفحتَك منبرًا لنشر العلم الصحيح — علمِ التوحيد والسنّة. </w:t>
      </w:r>
      <w:r>
        <w:rPr>
          <w:rFonts w:ascii="Traditional Arabic" w:cs="Traditional Arabic" w:eastAsia="Traditional Arabic" w:hAnsi="Traditional Arabic"/>
          <w:b/>
          <w:bCs/>
          <w:i w:val="false"/>
          <w:iCs w:val="false"/>
          <w:sz w:val="28"/>
          <w:szCs w:val="28"/>
          <w:rtl/>
        </w:rPr>
        <w:t xml:space="preserve">ولله درُّ أمِّ الإمام أحمد: كانت تُوقظه في السَّحَر وتذهب به إلى المسجد ليحضر الدروس</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فتخيَّلْ: إمامُ أهل السنّة كلُّه في صحيفة أعمال أمّه!</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الخامس: قضاءُ دَينه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قال ﷺ: </w:t>
      </w:r>
      <w:r>
        <w:rPr>
          <w:rFonts w:ascii="Traditional Arabic" w:cs="Traditional Arabic" w:eastAsia="Traditional Arabic" w:hAnsi="Traditional Arabic"/>
          <w:b/>
          <w:bCs/>
          <w:i w:val="false"/>
          <w:iCs w:val="false"/>
          <w:sz w:val="28"/>
          <w:szCs w:val="28"/>
          <w:rtl/>
        </w:rPr>
        <w:t xml:space="preserve">«نفسُ المؤمنِ معلَّقةٌ بدَينه حتى يُقضى عنه»</w:t>
      </w:r>
      <w:r>
        <w:rPr>
          <w:rStyle w:val="FootnoteReference"/>
        </w:rPr>
        <w:footnoteReference w:id="4"/>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فأبوك معلَّقٌ حتى تقضيَ دَينَه — والناسُ يتنافسون في المظاهر في بيوت العزاء!</w:t>
      </w:r>
      <w:r>
        <w:rPr>
          <w:rFonts w:ascii="Traditional Arabic" w:cs="Traditional Arabic" w:eastAsia="Traditional Arabic" w:hAnsi="Traditional Arabic"/>
          <w:b w:val="false"/>
          <w:bCs w:val="false"/>
          <w:i w:val="false"/>
          <w:iCs w:val="false"/>
          <w:sz w:val="28"/>
          <w:szCs w:val="28"/>
          <w:rtl/>
        </w:rPr>
        <w:t xml:space="preserve"> وأعرف ميّتًا عليه حقوقٌ للناس، فلمّا جاء الغرماءُ إلى أولاده — وهم في أبهى المظاهر — </w:t>
      </w:r>
      <w:r>
        <w:rPr>
          <w:rFonts w:ascii="Traditional Arabic" w:cs="Traditional Arabic" w:eastAsia="Traditional Arabic" w:hAnsi="Traditional Arabic"/>
          <w:b/>
          <w:bCs/>
          <w:i w:val="false"/>
          <w:iCs w:val="false"/>
          <w:sz w:val="28"/>
          <w:szCs w:val="28"/>
          <w:rtl/>
        </w:rPr>
        <w:t xml:space="preserve">قالوا: ذاك قبرُه، اذهبْ فخُذْ دَينَك منه!</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السادس: الصومُ والنَّذر</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قال ﷺ: </w:t>
      </w:r>
      <w:r>
        <w:rPr>
          <w:rFonts w:ascii="Traditional Arabic" w:cs="Traditional Arabic" w:eastAsia="Traditional Arabic" w:hAnsi="Traditional Arabic"/>
          <w:b/>
          <w:bCs/>
          <w:i w:val="false"/>
          <w:iCs w:val="false"/>
          <w:sz w:val="28"/>
          <w:szCs w:val="28"/>
          <w:rtl/>
        </w:rPr>
        <w:t xml:space="preserve">«مَن مات وعليه صيامٌ صام عنه وليُّه»</w:t>
      </w:r>
      <w:r>
        <w:rPr>
          <w:rFonts w:ascii="Traditional Arabic" w:cs="Traditional Arabic" w:eastAsia="Traditional Arabic" w:hAnsi="Traditional Arabic"/>
          <w:b w:val="false"/>
          <w:bCs w:val="false"/>
          <w:i w:val="false"/>
          <w:iCs w:val="false"/>
          <w:sz w:val="28"/>
          <w:szCs w:val="28"/>
          <w:rtl/>
        </w:rPr>
        <w:t xml:space="preserve">. متفقٌ عليه. </w:t>
      </w:r>
      <w:r>
        <w:rPr>
          <w:rFonts w:ascii="Traditional Arabic" w:cs="Traditional Arabic" w:eastAsia="Traditional Arabic" w:hAnsi="Traditional Arabic"/>
          <w:b/>
          <w:bCs/>
          <w:i w:val="false"/>
          <w:iCs w:val="false"/>
          <w:sz w:val="28"/>
          <w:szCs w:val="28"/>
          <w:rtl/>
        </w:rPr>
        <w:t xml:space="preserve">والأمّهاتُ يُكثِرن النذر وعليهنّ تقصيرٌ في الصوم</w:t>
      </w:r>
      <w:r>
        <w:rPr>
          <w:rFonts w:ascii="Traditional Arabic" w:cs="Traditional Arabic" w:eastAsia="Traditional Arabic" w:hAnsi="Traditional Arabic"/>
          <w:b w:val="false"/>
          <w:bCs w:val="false"/>
          <w:i w:val="false"/>
          <w:iCs w:val="false"/>
          <w:sz w:val="28"/>
          <w:szCs w:val="28"/>
          <w:rtl/>
        </w:rPr>
        <w:t xml:space="preserve">؛ فاحرِصْ أن تصوم عن أمّك، وأن تُؤدّيَ عنها نذرَها؛ فإنّه دَينٌ في رقبتها.</w:t>
      </w:r>
    </w:p>
    <w:p>
      <w:pPr>
        <w:bidi/>
        <w:spacing w:after="130" w:line="365"/>
        <w:jc w:val="both"/>
      </w:pPr>
      <w:r>
        <w:rPr>
          <w:rFonts w:ascii="Traditional Arabic" w:cs="Traditional Arabic" w:eastAsia="Traditional Arabic" w:hAnsi="Traditional Arabic"/>
          <w:b/>
          <w:bCs/>
          <w:i w:val="false"/>
          <w:iCs w:val="false"/>
          <w:sz w:val="28"/>
          <w:szCs w:val="28"/>
          <w:rtl/>
        </w:rPr>
        <w:t xml:space="preserve">اللهمّ اجعلنا أنهارًا من الحسنات تجري على والدينا في قبورهم.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Fonts w:ascii="Traditional Arabic" w:cs="Traditional Arabic" w:eastAsia="Traditional Arabic" w:hAnsi="Traditional Arabic"/>
          <w:sz w:val="20"/>
          <w:szCs w:val="20"/>
          <w:rtl/>
        </w:rPr>
        <w:t xml:space="preserve">رواه ابن ماجه (٣٦٦٠) وأحمد من حديث أبي هريرة ﵁، وحسّنه الألباني في «صحيح الجامع» (١٦١٧) و«السلسلة الصحيحة» (١٥٩٨).</w:t>
      </w:r>
    </w:p>
  </w:footnote>
  <w:footnote w:id="2">
    <w:p>
      <w:pPr>
        <w:bidi/>
        <w:jc w:val="right"/>
      </w:pPr>
      <w:r>
        <w:rPr>
          <w:rStyle w:val="FootnoteReference"/>
        </w:rPr>
        <w:footnoteRef/>
      </w:r>
      <w:r>
        <w:rPr>
          <w:rFonts w:ascii="Traditional Arabic" w:cs="Traditional Arabic" w:eastAsia="Traditional Arabic" w:hAnsi="Traditional Arabic"/>
          <w:sz w:val="20"/>
          <w:szCs w:val="20"/>
          <w:rtl/>
        </w:rPr>
        <w:t xml:space="preserve">رواه النسائي (٣٦٦٤) وابن ماجه وأحمد من حديث سعد بن عبادة ﵁، وحسّنه الألباني في «صحيح الجامع» (١١١٣) و«صحيح سنن النسائي».</w:t>
      </w:r>
    </w:p>
  </w:footnote>
  <w:footnote w:id="3">
    <w:p>
      <w:pPr>
        <w:bidi/>
        <w:jc w:val="right"/>
      </w:pPr>
      <w:r>
        <w:rPr>
          <w:rStyle w:val="FootnoteReference"/>
        </w:rPr>
        <w:footnoteRef/>
      </w:r>
      <w:r>
        <w:rPr>
          <w:rFonts w:ascii="Traditional Arabic" w:cs="Traditional Arabic" w:eastAsia="Traditional Arabic" w:hAnsi="Traditional Arabic"/>
          <w:sz w:val="20"/>
          <w:szCs w:val="20"/>
          <w:rtl/>
        </w:rPr>
        <w:t xml:space="preserve">رواه ابن ماجه (٢٤٢) والبيهقي من حديث أبي هريرة ﵁، وحسّنه الألباني في «صحيح الجامع» (٢٢٣١) و«صحيح الترغيب» (٧٧).</w:t>
      </w:r>
    </w:p>
  </w:footnote>
  <w:footnote w:id="4">
    <w:p>
      <w:pPr>
        <w:bidi/>
        <w:jc w:val="right"/>
      </w:pPr>
      <w:r>
        <w:rPr>
          <w:rStyle w:val="FootnoteReference"/>
        </w:rPr>
        <w:footnoteRef/>
      </w:r>
      <w:r>
        <w:rPr>
          <w:rFonts w:ascii="Traditional Arabic" w:cs="Traditional Arabic" w:eastAsia="Traditional Arabic" w:hAnsi="Traditional Arabic"/>
          <w:sz w:val="20"/>
          <w:szCs w:val="20"/>
          <w:rtl/>
        </w:rPr>
        <w:t xml:space="preserve">رواه الترمذي (١٠٧٨) وابن ماجه وأحمد من حديث أبي هريرة ﵁. قال الترمذي: «حسن»، وحسّنه الألباني في «صحيح الجامع» (٦٧٧٩) و«الإرواء» (١٤٢٤).</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الأعمالُ التي يصلُ ثوابُها إلى الميّت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2026-08-01T17:50:03.780Z</dcterms:created>
  <dcterms:modified xsi:type="dcterms:W3CDTF">2026-08-01T17:50:03.801Z</dcterms:modified>
</cp:coreProperties>
</file>

<file path=docProps/custom.xml><?xml version="1.0" encoding="utf-8"?>
<Properties xmlns="http://schemas.openxmlformats.org/officeDocument/2006/custom-properties" xmlns:vt="http://schemas.openxmlformats.org/officeDocument/2006/docPropsVTypes"/>
</file>