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التحذيرُ من الفواحش</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الزنا: أسبابُه وآثارُه وعلاجُه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فاحشةٌ تشمئزُّ منها النفوس، كبيرةٌ من الكبائر، هلاكٌ للعباد ودمارٌ للبلاد</w:t>
      </w:r>
      <w:r>
        <w:rPr>
          <w:rFonts w:ascii="Traditional Arabic" w:cs="Traditional Arabic" w:eastAsia="Traditional Arabic" w:hAnsi="Traditional Arabic"/>
          <w:b w:val="false"/>
          <w:bCs w:val="false"/>
          <w:i w:val="false"/>
          <w:iCs w:val="false"/>
          <w:sz w:val="28"/>
          <w:szCs w:val="28"/>
          <w:rtl/>
        </w:rPr>
        <w:t xml:space="preserve">، وأمارةٌ من أمارات الساعة — </w:t>
      </w:r>
      <w:r>
        <w:rPr>
          <w:rFonts w:ascii="Traditional Arabic" w:cs="Traditional Arabic" w:eastAsia="Traditional Arabic" w:hAnsi="Traditional Arabic"/>
          <w:b/>
          <w:bCs/>
          <w:i w:val="false"/>
          <w:iCs w:val="false"/>
          <w:sz w:val="28"/>
          <w:szCs w:val="28"/>
          <w:rtl/>
        </w:rPr>
        <w:t xml:space="preserve">فشَت وانتشرت وما كنّا نظنُّ ذلك</w:t>
      </w:r>
      <w:r>
        <w:rPr>
          <w:rFonts w:ascii="Traditional Arabic" w:cs="Traditional Arabic" w:eastAsia="Traditional Arabic" w:hAnsi="Traditional Arabic"/>
          <w:b w:val="false"/>
          <w:bCs w:val="false"/>
          <w:i w:val="false"/>
          <w:iCs w:val="false"/>
          <w:sz w:val="28"/>
          <w:szCs w:val="28"/>
          <w:rtl/>
        </w:rPr>
        <w:t xml:space="preserve">؛ حتى صارت تُباع وتُشترى في الطرقات في بلاد المسلمين! </w:t>
      </w:r>
      <w:r>
        <w:rPr>
          <w:rFonts w:ascii="Traditional Arabic" w:cs="Traditional Arabic" w:eastAsia="Traditional Arabic" w:hAnsi="Traditional Arabic"/>
          <w:b/>
          <w:bCs/>
          <w:i w:val="false"/>
          <w:iCs w:val="false"/>
          <w:sz w:val="28"/>
          <w:szCs w:val="28"/>
          <w:rtl/>
        </w:rPr>
        <w:t xml:space="preserve">كلامي عن فاحشة الزنا: أسبابِها وآثارِها وعلاجِها</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أسبابُ انتشاره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تعطيلُ حكم الله في الزاني</w:t>
      </w:r>
      <w:r>
        <w:rPr>
          <w:rFonts w:ascii="Traditional Arabic" w:cs="Traditional Arabic" w:eastAsia="Traditional Arabic" w:hAnsi="Traditional Arabic"/>
          <w:b w:val="false"/>
          <w:bCs w:val="false"/>
          <w:i w:val="false"/>
          <w:iCs w:val="false"/>
          <w:sz w:val="28"/>
          <w:szCs w:val="28"/>
          <w:rtl/>
        </w:rPr>
        <w:t xml:space="preserve">؛ ولا ينبغي لعاقلٍ يريد علاجَ هذه الكارثة أن يتجاهله. </w:t>
      </w:r>
      <w:r>
        <w:rPr>
          <w:rFonts w:ascii="Traditional Arabic" w:cs="Traditional Arabic" w:eastAsia="Traditional Arabic" w:hAnsi="Traditional Arabic"/>
          <w:b/>
          <w:bCs/>
          <w:i w:val="false"/>
          <w:iCs w:val="false"/>
          <w:sz w:val="28"/>
          <w:szCs w:val="28"/>
          <w:rtl/>
        </w:rPr>
        <w:t xml:space="preserve">فلمّا عُطِّل الحدُّ فشَت الفاحشة؛ ومَن أمِنَ العقوبةَ أساء الأدب</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٢) </w:t>
      </w:r>
      <w:r>
        <w:rPr>
          <w:rFonts w:ascii="Traditional Arabic" w:cs="Traditional Arabic" w:eastAsia="Traditional Arabic" w:hAnsi="Traditional Arabic"/>
          <w:b/>
          <w:bCs/>
          <w:i w:val="false"/>
          <w:iCs w:val="false"/>
          <w:sz w:val="28"/>
          <w:szCs w:val="28"/>
          <w:rtl/>
        </w:rPr>
        <w:t xml:space="preserve">الخمورُ والمراقص</w:t>
      </w:r>
      <w:r>
        <w:rPr>
          <w:rFonts w:ascii="Traditional Arabic" w:cs="Traditional Arabic" w:eastAsia="Traditional Arabic" w:hAnsi="Traditional Arabic"/>
          <w:b w:val="false"/>
          <w:bCs w:val="false"/>
          <w:i w:val="false"/>
          <w:iCs w:val="false"/>
          <w:sz w:val="28"/>
          <w:szCs w:val="28"/>
          <w:rtl/>
        </w:rPr>
        <w:t xml:space="preserve"> المُشرَعةُ أبوابُها لشباب المسلمين وفتياتهم. </w:t>
      </w:r>
      <w:r>
        <w:rPr>
          <w:rFonts w:ascii="Traditional Arabic" w:cs="Traditional Arabic" w:eastAsia="Traditional Arabic" w:hAnsi="Traditional Arabic"/>
          <w:b/>
          <w:bCs/>
          <w:i w:val="false"/>
          <w:iCs w:val="false"/>
          <w:sz w:val="28"/>
          <w:szCs w:val="28"/>
          <w:rtl/>
        </w:rPr>
        <w:t xml:space="preserve">فأيُّ جيلٍ سيتربّى وهو يشرب الخمرَ وتُباع نهارًا جِهارًا؟</w:t>
      </w:r>
      <w:r>
        <w:rPr>
          <w:rFonts w:ascii="Traditional Arabic" w:cs="Traditional Arabic" w:eastAsia="Traditional Arabic" w:hAnsi="Traditional Arabic"/>
          <w:b w:val="false"/>
          <w:bCs w:val="false"/>
          <w:i w:val="false"/>
          <w:iCs w:val="false"/>
          <w:sz w:val="28"/>
          <w:szCs w:val="28"/>
          <w:rtl/>
        </w:rPr>
        <w:t xml:space="preserve"> ومَن شرب الخمرَ ورأى ما رأى — </w:t>
      </w:r>
      <w:r>
        <w:rPr>
          <w:rFonts w:ascii="Traditional Arabic" w:cs="Traditional Arabic" w:eastAsia="Traditional Arabic" w:hAnsi="Traditional Arabic"/>
          <w:b/>
          <w:bCs/>
          <w:i w:val="false"/>
          <w:iCs w:val="false"/>
          <w:sz w:val="28"/>
          <w:szCs w:val="28"/>
          <w:rtl/>
        </w:rPr>
        <w:t xml:space="preserve">أتظنُّه سيعود ليُصلّيَ الفجرَ جماعة؟!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٣) </w:t>
      </w:r>
      <w:r>
        <w:rPr>
          <w:rFonts w:ascii="Traditional Arabic" w:cs="Traditional Arabic" w:eastAsia="Traditional Arabic" w:hAnsi="Traditional Arabic"/>
          <w:b/>
          <w:bCs/>
          <w:i w:val="false"/>
          <w:iCs w:val="false"/>
          <w:sz w:val="28"/>
          <w:szCs w:val="28"/>
          <w:rtl/>
        </w:rPr>
        <w:t xml:space="preserve">التبرُّجُ والسفور</w:t>
      </w:r>
      <w:r>
        <w:rPr>
          <w:rFonts w:ascii="Traditional Arabic" w:cs="Traditional Arabic" w:eastAsia="Traditional Arabic" w:hAnsi="Traditional Arabic"/>
          <w:b w:val="false"/>
          <w:bCs w:val="false"/>
          <w:i w:val="false"/>
          <w:iCs w:val="false"/>
          <w:sz w:val="28"/>
          <w:szCs w:val="28"/>
          <w:rtl/>
        </w:rPr>
        <w:t xml:space="preserve">؛ حتى واللهِ ما عاد يُميَّز بين المسلمة وغيرها إلا بعلامةٍ ظاهرة! </w:t>
      </w:r>
      <w:r>
        <w:rPr>
          <w:rFonts w:ascii="Traditional Arabic" w:cs="Traditional Arabic" w:eastAsia="Traditional Arabic" w:hAnsi="Traditional Arabic"/>
          <w:b/>
          <w:bCs/>
          <w:i w:val="false"/>
          <w:iCs w:val="false"/>
          <w:sz w:val="28"/>
          <w:szCs w:val="28"/>
          <w:rtl/>
        </w:rPr>
        <w:t xml:space="preserve">وإنّ المرأةَ إذا أظهرت مفاتنَها فذلك من أعظم أسباب استعار الشهوة في قلوب الشباب</w:t>
      </w:r>
      <w:r>
        <w:rPr>
          <w:rFonts w:ascii="Traditional Arabic" w:cs="Traditional Arabic" w:eastAsia="Traditional Arabic" w:hAnsi="Traditional Arabic"/>
          <w:b w:val="false"/>
          <w:bCs w:val="false"/>
          <w:i w:val="false"/>
          <w:iCs w:val="false"/>
          <w:sz w:val="28"/>
          <w:szCs w:val="28"/>
          <w:rtl/>
        </w:rPr>
        <w:t xml:space="preserve">. وقال ﷺ: </w:t>
      </w:r>
      <w:r>
        <w:rPr>
          <w:rFonts w:ascii="Traditional Arabic" w:cs="Traditional Arabic" w:eastAsia="Traditional Arabic" w:hAnsi="Traditional Arabic"/>
          <w:b/>
          <w:bCs/>
          <w:i w:val="false"/>
          <w:iCs w:val="false"/>
          <w:sz w:val="28"/>
          <w:szCs w:val="28"/>
          <w:rtl/>
        </w:rPr>
        <w:t xml:space="preserve">«المرأةُ عورةٌ، فإذا خرجت استشرفها الشيطان»</w:t>
      </w:r>
      <w:r>
        <w:rPr>
          <w:rStyle w:val="FootnoteReference"/>
        </w:rPr>
        <w:footnoteReference w:id="4"/>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فاتّقِ اللهَ يا من ترضى بتبرُّج زوجتك أو ابنتك</w:t>
      </w:r>
      <w:r>
        <w:rPr>
          <w:rFonts w:ascii="Traditional Arabic" w:cs="Traditional Arabic" w:eastAsia="Traditional Arabic" w:hAnsi="Traditional Arabic"/>
          <w:b w:val="false"/>
          <w:bCs w:val="false"/>
          <w:i w:val="false"/>
          <w:iCs w:val="false"/>
          <w:sz w:val="28"/>
          <w:szCs w:val="28"/>
          <w:rtl/>
        </w:rPr>
        <w:t xml:space="preserve">؛ ولا سيّما إذا انضاف إليه اختلاطٌ بلا ضوابط.</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٤) </w:t>
      </w:r>
      <w:r>
        <w:rPr>
          <w:rFonts w:ascii="Traditional Arabic" w:cs="Traditional Arabic" w:eastAsia="Traditional Arabic" w:hAnsi="Traditional Arabic"/>
          <w:b/>
          <w:bCs/>
          <w:i w:val="false"/>
          <w:iCs w:val="false"/>
          <w:sz w:val="28"/>
          <w:szCs w:val="28"/>
          <w:rtl/>
        </w:rPr>
        <w:t xml:space="preserve">غلاءُ المهور وتعسُّرُ الزواج</w:t>
      </w:r>
      <w:r>
        <w:rPr>
          <w:rFonts w:ascii="Traditional Arabic" w:cs="Traditional Arabic" w:eastAsia="Traditional Arabic" w:hAnsi="Traditional Arabic"/>
          <w:b w:val="false"/>
          <w:bCs w:val="false"/>
          <w:i w:val="false"/>
          <w:iCs w:val="false"/>
          <w:sz w:val="28"/>
          <w:szCs w:val="28"/>
          <w:rtl/>
        </w:rPr>
        <w:t xml:space="preserve">؛ فالشابُّ الذي عَسُر عليه الزواجُ وهو يرى ما يرى في الطرقات — </w:t>
      </w:r>
      <w:r>
        <w:rPr>
          <w:rFonts w:ascii="Traditional Arabic" w:cs="Traditional Arabic" w:eastAsia="Traditional Arabic" w:hAnsi="Traditional Arabic"/>
          <w:b/>
          <w:bCs/>
          <w:i w:val="false"/>
          <w:iCs w:val="false"/>
          <w:sz w:val="28"/>
          <w:szCs w:val="28"/>
          <w:rtl/>
        </w:rPr>
        <w:t xml:space="preserve">إن لم يَخَفْ ربَّه فلن يحجزه عن الحرام شيء</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٥) </w:t>
      </w:r>
      <w:r>
        <w:rPr>
          <w:rFonts w:ascii="Traditional Arabic" w:cs="Traditional Arabic" w:eastAsia="Traditional Arabic" w:hAnsi="Traditional Arabic"/>
          <w:b/>
          <w:bCs/>
          <w:i w:val="false"/>
          <w:iCs w:val="false"/>
          <w:sz w:val="28"/>
          <w:szCs w:val="28"/>
          <w:rtl/>
        </w:rPr>
        <w:t xml:space="preserve">انتشارُ المقاطع والصور عبر هذه المنصّات</w:t>
      </w:r>
      <w:r>
        <w:rPr>
          <w:rFonts w:ascii="Traditional Arabic" w:cs="Traditional Arabic" w:eastAsia="Traditional Arabic" w:hAnsi="Traditional Arabic"/>
          <w:b w:val="false"/>
          <w:bCs w:val="false"/>
          <w:i w:val="false"/>
          <w:iCs w:val="false"/>
          <w:sz w:val="28"/>
          <w:szCs w:val="28"/>
          <w:rtl/>
        </w:rPr>
        <w:t xml:space="preserve">، والتي صارت حِمَمًا تحرق بيوتنا. </w:t>
      </w:r>
      <w:r>
        <w:rPr>
          <w:rFonts w:ascii="Traditional Arabic" w:cs="Traditional Arabic" w:eastAsia="Traditional Arabic" w:hAnsi="Traditional Arabic"/>
          <w:b/>
          <w:bCs/>
          <w:i w:val="false"/>
          <w:iCs w:val="false"/>
          <w:sz w:val="28"/>
          <w:szCs w:val="28"/>
          <w:rtl/>
        </w:rPr>
        <w:t xml:space="preserve">في قديم الزمان كان مَن أراد الحرامَ لا بدّ أن يذهب إليه؛ واليوم في غرفتك ترى كلَّ شيءٍ بلا رقيب!</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فاتّقِ اللهَ يا من تنشُر، واعلم أنّ كلَّ ما يُنشَر سيّئاتٌ جاريةٌ في صحيفتك</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آثارُه في الدنيا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سَلْبُ اسم الإيمان</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«لا يزني الزاني حين يزني وهو مؤمن»</w:t>
      </w:r>
      <w:r>
        <w:rPr>
          <w:rFonts w:ascii="Traditional Arabic" w:cs="Traditional Arabic" w:eastAsia="Traditional Arabic" w:hAnsi="Traditional Arabic"/>
          <w:b w:val="false"/>
          <w:bCs w:val="false"/>
          <w:i w:val="false"/>
          <w:iCs w:val="false"/>
          <w:sz w:val="28"/>
          <w:szCs w:val="28"/>
          <w:rtl/>
        </w:rPr>
        <w:t xml:space="preserve">. متفقٌ عليه. وجاء: </w:t>
      </w:r>
      <w:r>
        <w:rPr>
          <w:rFonts w:ascii="Traditional Arabic" w:cs="Traditional Arabic" w:eastAsia="Traditional Arabic" w:hAnsi="Traditional Arabic"/>
          <w:b/>
          <w:bCs/>
          <w:i w:val="false"/>
          <w:iCs w:val="false"/>
          <w:sz w:val="28"/>
          <w:szCs w:val="28"/>
          <w:rtl/>
        </w:rPr>
        <w:t xml:space="preserve">«إذا زنى الرجلُ خرج منه الإيمانُ فكان فوقه كالظُّلّة، فإذا انقطع رجع إليه الإيمان»</w:t>
      </w:r>
      <w:r>
        <w:rPr>
          <w:rStyle w:val="FootnoteReference"/>
        </w:rPr>
        <w:footnoteReference w:id="5"/>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ونحن وإن كنّا لا نُكفِّر بالذنوب — أفترضى أن يُسلَب منك الإيمانُ من أجل شهوةٍ عابرة؟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٢) </w:t>
      </w:r>
      <w:r>
        <w:rPr>
          <w:rFonts w:ascii="Traditional Arabic" w:cs="Traditional Arabic" w:eastAsia="Traditional Arabic" w:hAnsi="Traditional Arabic"/>
          <w:b/>
          <w:bCs/>
          <w:i w:val="false"/>
          <w:iCs w:val="false"/>
          <w:sz w:val="28"/>
          <w:szCs w:val="28"/>
          <w:rtl/>
        </w:rPr>
        <w:t xml:space="preserve">حِلُّ دمِ المُحصَن</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«لا يحلُّ دمُ امرئٍ مسلمٍ إلا بإحدى ثلاث: الثيِّبُ الزاني، والنفسُ بالنفس، والتاركُ لدينه المفارقُ للجماعة»</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وانظر بأيِّها بدأ!</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٣) </w:t>
      </w:r>
      <w:r>
        <w:rPr>
          <w:rFonts w:ascii="Traditional Arabic" w:cs="Traditional Arabic" w:eastAsia="Traditional Arabic" w:hAnsi="Traditional Arabic"/>
          <w:b/>
          <w:bCs/>
          <w:i w:val="false"/>
          <w:iCs w:val="false"/>
          <w:sz w:val="28"/>
          <w:szCs w:val="28"/>
          <w:rtl/>
        </w:rPr>
        <w:t xml:space="preserve">حجبُ الدعاء</w:t>
      </w:r>
      <w:r>
        <w:rPr>
          <w:rFonts w:ascii="Traditional Arabic" w:cs="Traditional Arabic" w:eastAsia="Traditional Arabic" w:hAnsi="Traditional Arabic"/>
          <w:b w:val="false"/>
          <w:bCs w:val="false"/>
          <w:i w:val="false"/>
          <w:iCs w:val="false"/>
          <w:sz w:val="28"/>
          <w:szCs w:val="28"/>
          <w:rtl/>
        </w:rPr>
        <w:t xml:space="preserve">؛ فقد جاء أنّه إذا انتصف الليلُ فُتحت أبوابُ السماء </w:t>
      </w:r>
      <w:r>
        <w:rPr>
          <w:rFonts w:ascii="Traditional Arabic" w:cs="Traditional Arabic" w:eastAsia="Traditional Arabic" w:hAnsi="Traditional Arabic"/>
          <w:b/>
          <w:bCs/>
          <w:i w:val="false"/>
          <w:iCs w:val="false"/>
          <w:sz w:val="28"/>
          <w:szCs w:val="28"/>
          <w:rtl/>
        </w:rPr>
        <w:t xml:space="preserve">فيُستجابُ لكلِّ داعٍ — إلا زانيةً تسعى بفرجها</w:t>
      </w:r>
      <w:r>
        <w:rPr>
          <w:rStyle w:val="FootnoteReference"/>
        </w:rPr>
        <w:footnoteReference w:id="6"/>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٤) </w:t>
      </w:r>
      <w:r>
        <w:rPr>
          <w:rFonts w:ascii="Traditional Arabic" w:cs="Traditional Arabic" w:eastAsia="Traditional Arabic" w:hAnsi="Traditional Arabic"/>
          <w:b/>
          <w:bCs/>
          <w:i w:val="false"/>
          <w:iCs w:val="false"/>
          <w:sz w:val="28"/>
          <w:szCs w:val="28"/>
          <w:rtl/>
        </w:rPr>
        <w:t xml:space="preserve">ألّا يتلذَّذَ بالحلال</w:t>
      </w:r>
      <w:r>
        <w:rPr>
          <w:rFonts w:ascii="Traditional Arabic" w:cs="Traditional Arabic" w:eastAsia="Traditional Arabic" w:hAnsi="Traditional Arabic"/>
          <w:b w:val="false"/>
          <w:bCs w:val="false"/>
          <w:i w:val="false"/>
          <w:iCs w:val="false"/>
          <w:sz w:val="28"/>
          <w:szCs w:val="28"/>
          <w:rtl/>
        </w:rPr>
        <w:t xml:space="preserve">؛ فمَن ألِف هذا الطريقَ </w:t>
      </w:r>
      <w:r>
        <w:rPr>
          <w:rFonts w:ascii="Traditional Arabic" w:cs="Traditional Arabic" w:eastAsia="Traditional Arabic" w:hAnsi="Traditional Arabic"/>
          <w:b/>
          <w:bCs/>
          <w:i w:val="false"/>
          <w:iCs w:val="false"/>
          <w:sz w:val="28"/>
          <w:szCs w:val="28"/>
          <w:rtl/>
        </w:rPr>
        <w:t xml:space="preserve">يصعبُ عليه أن يقنَع بزوجةٍ أحلَّ اللهُ له منها كلَّ شيء</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﴿إِنَّهُ كَانَ فَاحِشَةً وَسَاءَ سَبِيلًا﴾</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ثالثًا: آثارُه في الآخرة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تعالى بعد ذكر الشرك والقتل والزنا: </w:t>
      </w:r>
      <w:r>
        <w:rPr>
          <w:rFonts w:ascii="Traditional Arabic" w:cs="Traditional Arabic" w:eastAsia="Traditional Arabic" w:hAnsi="Traditional Arabic"/>
          <w:b/>
          <w:bCs/>
          <w:i w:val="false"/>
          <w:iCs w:val="false"/>
          <w:sz w:val="28"/>
          <w:szCs w:val="28"/>
          <w:rtl/>
        </w:rPr>
        <w:t xml:space="preserve">﴿وَمَن يَفْعَلْ ذَٰلِكَ يَلْقَ أَثَامًا • يُضَاعَفْ لَهُ الْعَذَابُ يَوْمَ الْقِيَامَةِ وَيَخْلُدْ فِيهِ مُهَانًا • إِلَّا مَن تَابَ﴾</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وحديثي عن غير التائبين؛ فمَن تاب تاب اللهُ عليه</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التنّورُ الخاصّ</w:t>
      </w:r>
      <w:r>
        <w:rPr>
          <w:rFonts w:ascii="Traditional Arabic" w:cs="Traditional Arabic" w:eastAsia="Traditional Arabic" w:hAnsi="Traditional Arabic"/>
          <w:b w:val="false"/>
          <w:bCs w:val="false"/>
          <w:i w:val="false"/>
          <w:iCs w:val="false"/>
          <w:sz w:val="28"/>
          <w:szCs w:val="28"/>
          <w:rtl/>
        </w:rPr>
        <w:t xml:space="preserve">؛ ففي حديث الرؤيا الطويل الذي رواه البخاريُّ عن سَمُرة بن جُندبٍ ﵁ قال ﷺ: </w:t>
      </w:r>
      <w:r>
        <w:rPr>
          <w:rFonts w:ascii="Traditional Arabic" w:cs="Traditional Arabic" w:eastAsia="Traditional Arabic" w:hAnsi="Traditional Arabic"/>
          <w:b/>
          <w:bCs/>
          <w:i w:val="false"/>
          <w:iCs w:val="false"/>
          <w:sz w:val="28"/>
          <w:szCs w:val="28"/>
          <w:rtl/>
        </w:rPr>
        <w:t xml:space="preserve">«فانطلقنا إلى ثَقْبٍ مثلِ التنّور، أعلاه ضيّقٌ وأسفلُه واسع، يتوقّد تحته نار؛ فإذا فيه رجالٌ ونساءٌ عُراة، فإذا اقترب اللهبُ ارتفعوا حتى كادوا أن يخرجوا، فإذا خمَد رجعوا فيها»</w:t>
      </w:r>
      <w:r>
        <w:rPr>
          <w:rFonts w:ascii="Traditional Arabic" w:cs="Traditional Arabic" w:eastAsia="Traditional Arabic" w:hAnsi="Traditional Arabic"/>
          <w:b w:val="false"/>
          <w:bCs w:val="false"/>
          <w:i w:val="false"/>
          <w:iCs w:val="false"/>
          <w:sz w:val="28"/>
          <w:szCs w:val="28"/>
          <w:rtl/>
        </w:rPr>
        <w:t xml:space="preserve">. فسأل عنهم فقيل: </w:t>
      </w:r>
      <w:r>
        <w:rPr>
          <w:rFonts w:ascii="Traditional Arabic" w:cs="Traditional Arabic" w:eastAsia="Traditional Arabic" w:hAnsi="Traditional Arabic"/>
          <w:b/>
          <w:bCs/>
          <w:i w:val="false"/>
          <w:iCs w:val="false"/>
          <w:sz w:val="28"/>
          <w:szCs w:val="28"/>
          <w:rtl/>
        </w:rPr>
        <w:t xml:space="preserve">«هم الزناةُ والزواني»</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والناسُ في المحشر يرَونك — وقد كنتَ مستورًا في الدنيا بالظلام!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٢) </w:t>
      </w:r>
      <w:r>
        <w:rPr>
          <w:rFonts w:ascii="Traditional Arabic" w:cs="Traditional Arabic" w:eastAsia="Traditional Arabic" w:hAnsi="Traditional Arabic"/>
          <w:b/>
          <w:bCs/>
          <w:i w:val="false"/>
          <w:iCs w:val="false"/>
          <w:sz w:val="28"/>
          <w:szCs w:val="28"/>
          <w:rtl/>
        </w:rPr>
        <w:t xml:space="preserve">مَحشرٌ كريهُ الرائحة</w:t>
      </w:r>
      <w:r>
        <w:rPr>
          <w:rFonts w:ascii="Traditional Arabic" w:cs="Traditional Arabic" w:eastAsia="Traditional Arabic" w:hAnsi="Traditional Arabic"/>
          <w:b w:val="false"/>
          <w:bCs w:val="false"/>
          <w:i w:val="false"/>
          <w:iCs w:val="false"/>
          <w:sz w:val="28"/>
          <w:szCs w:val="28"/>
          <w:rtl/>
        </w:rPr>
        <w:t xml:space="preserve">؛ ففي رواية الإسراء قال ﷺ: </w:t>
      </w:r>
      <w:r>
        <w:rPr>
          <w:rFonts w:ascii="Traditional Arabic" w:cs="Traditional Arabic" w:eastAsia="Traditional Arabic" w:hAnsi="Traditional Arabic"/>
          <w:b/>
          <w:bCs/>
          <w:i w:val="false"/>
          <w:iCs w:val="false"/>
          <w:sz w:val="28"/>
          <w:szCs w:val="28"/>
          <w:rtl/>
        </w:rPr>
        <w:t xml:space="preserve">«ثم انطلق بي، فإذا أنا بقومٍ أشدِّ شيءٍ انتفاخًا وأنتنِه ريحًا، كأنّ ريحَهم المراحيض. قلتُ: مَن هؤلاء؟ قال: هؤلاء الزُّناة»</w:t>
      </w:r>
      <w:r>
        <w:rPr>
          <w:rStyle w:val="FootnoteReference"/>
        </w:rPr>
        <w:footnoteReference w:id="7"/>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٣) وأمّا مَن دنا من محارم جيرانه فقد سُئل ﷺ: أيُّ الذنب أعظم؟ فقال: </w:t>
      </w:r>
      <w:r>
        <w:rPr>
          <w:rFonts w:ascii="Traditional Arabic" w:cs="Traditional Arabic" w:eastAsia="Traditional Arabic" w:hAnsi="Traditional Arabic"/>
          <w:b/>
          <w:bCs/>
          <w:i w:val="false"/>
          <w:iCs w:val="false"/>
          <w:sz w:val="28"/>
          <w:szCs w:val="28"/>
          <w:rtl/>
        </w:rPr>
        <w:t xml:space="preserve">«أن تجعل لله ندًّا وهو خلقك». قلتُ: ثم أيّ؟ قال: «أن تقتل ولدَك خشيةَ أن يطعم معك». قلتُ: ثم أيّ؟ قال: «أن تُزانيَ حليلةَ جارك»</w:t>
      </w:r>
      <w:r>
        <w:rPr>
          <w:rFonts w:ascii="Traditional Arabic" w:cs="Traditional Arabic" w:eastAsia="Traditional Arabic" w:hAnsi="Traditional Arabic"/>
          <w:b w:val="false"/>
          <w:bCs w:val="false"/>
          <w:i w:val="false"/>
          <w:iCs w:val="false"/>
          <w:sz w:val="28"/>
          <w:szCs w:val="28"/>
          <w:rtl/>
        </w:rPr>
        <w:t xml:space="preserve">. متفقٌ عليه. وقال جاهليٌّ قبل الإسلام:</w:t>
      </w:r>
    </w:p>
    <w:p>
      <w:pPr>
        <w:bidi/>
        <w:spacing w:after="130" w:line="365"/>
        <w:jc w:val="center"/>
      </w:pPr>
      <w:r>
        <w:rPr>
          <w:rFonts w:ascii="Traditional Arabic" w:cs="Traditional Arabic" w:eastAsia="Traditional Arabic" w:hAnsi="Traditional Arabic"/>
          <w:b/>
          <w:bCs/>
          <w:i w:val="false"/>
          <w:iCs w:val="false"/>
          <w:sz w:val="28"/>
          <w:szCs w:val="28"/>
          <w:rtl/>
        </w:rPr>
        <w:t xml:space="preserve">وأَغُضُّ طَرْفي إنْ بَدَتْ لي جارَتي ••• حتّى يُواري جارَتي مَأْواها</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رابعًا: العلاج</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تطبيقُ شرع الله</w:t>
      </w:r>
      <w:r>
        <w:rPr>
          <w:rFonts w:ascii="Traditional Arabic" w:cs="Traditional Arabic" w:eastAsia="Traditional Arabic" w:hAnsi="Traditional Arabic"/>
          <w:b w:val="false"/>
          <w:bCs w:val="false"/>
          <w:i w:val="false"/>
          <w:iCs w:val="false"/>
          <w:sz w:val="28"/>
          <w:szCs w:val="28"/>
          <w:rtl/>
        </w:rPr>
        <w:t xml:space="preserve">. ٢) </w:t>
      </w:r>
      <w:r>
        <w:rPr>
          <w:rFonts w:ascii="Traditional Arabic" w:cs="Traditional Arabic" w:eastAsia="Traditional Arabic" w:hAnsi="Traditional Arabic"/>
          <w:b/>
          <w:bCs/>
          <w:i w:val="false"/>
          <w:iCs w:val="false"/>
          <w:sz w:val="28"/>
          <w:szCs w:val="28"/>
          <w:rtl/>
        </w:rPr>
        <w:t xml:space="preserve">السَّترُ والعفاف وتربيةُ الناشئة على الحجاب</w:t>
      </w:r>
      <w:r>
        <w:rPr>
          <w:rFonts w:ascii="Traditional Arabic" w:cs="Traditional Arabic" w:eastAsia="Traditional Arabic" w:hAnsi="Traditional Arabic"/>
          <w:b w:val="false"/>
          <w:bCs w:val="false"/>
          <w:i w:val="false"/>
          <w:iCs w:val="false"/>
          <w:sz w:val="28"/>
          <w:szCs w:val="28"/>
          <w:rtl/>
        </w:rPr>
        <w:t xml:space="preserve">. ٣) </w:t>
      </w:r>
      <w:r>
        <w:rPr>
          <w:rFonts w:ascii="Traditional Arabic" w:cs="Traditional Arabic" w:eastAsia="Traditional Arabic" w:hAnsi="Traditional Arabic"/>
          <w:b/>
          <w:bCs/>
          <w:i w:val="false"/>
          <w:iCs w:val="false"/>
          <w:sz w:val="28"/>
          <w:szCs w:val="28"/>
          <w:rtl/>
        </w:rPr>
        <w:t xml:space="preserve">غضُّ البصر</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﴿قُل لِّلْمُؤْمِنِينَ يَغُضُّوا مِنْ أَبْصَارِهِمْ وَيَحْفَظُوا فُرُوجَهُمْ﴾</w:t>
      </w:r>
      <w:r>
        <w:rPr>
          <w:rFonts w:ascii="Traditional Arabic" w:cs="Traditional Arabic" w:eastAsia="Traditional Arabic" w:hAnsi="Traditional Arabic"/>
          <w:b w:val="false"/>
          <w:bCs w:val="false"/>
          <w:i w:val="false"/>
          <w:iCs w:val="false"/>
          <w:sz w:val="28"/>
          <w:szCs w:val="28"/>
          <w:rtl/>
        </w:rPr>
        <w:t xml:space="preserve">، وقال ﷺ لعليٍّ ﵁: </w:t>
      </w:r>
      <w:r>
        <w:rPr>
          <w:rFonts w:ascii="Traditional Arabic" w:cs="Traditional Arabic" w:eastAsia="Traditional Arabic" w:hAnsi="Traditional Arabic"/>
          <w:b/>
          <w:bCs/>
          <w:i w:val="false"/>
          <w:iCs w:val="false"/>
          <w:sz w:val="28"/>
          <w:szCs w:val="28"/>
          <w:rtl/>
        </w:rPr>
        <w:t xml:space="preserve">«لا تُتبِعِ النظرةَ النظرة؛ فإنّ لك الأولى وليست لك الآخرة»</w:t>
      </w:r>
      <w:r>
        <w:rPr>
          <w:rStyle w:val="FootnoteReference"/>
        </w:rPr>
        <w:footnoteReference w:id="8"/>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٤) وأختمُ بعلاجٍ نبويٍّ عظيم</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جاء فتًى شابٌّ إلى النبيّ ﷺ فقال: </w:t>
      </w:r>
      <w:r>
        <w:rPr>
          <w:rFonts w:ascii="Traditional Arabic" w:cs="Traditional Arabic" w:eastAsia="Traditional Arabic" w:hAnsi="Traditional Arabic"/>
          <w:b/>
          <w:bCs/>
          <w:i w:val="false"/>
          <w:iCs w:val="false"/>
          <w:sz w:val="28"/>
          <w:szCs w:val="28"/>
          <w:rtl/>
        </w:rPr>
        <w:t xml:space="preserve">يا رسولَ الله، ائذنْ لي بالزنا!</w:t>
      </w:r>
      <w:r>
        <w:rPr>
          <w:rFonts w:ascii="Traditional Arabic" w:cs="Traditional Arabic" w:eastAsia="Traditional Arabic" w:hAnsi="Traditional Arabic"/>
          <w:b w:val="false"/>
          <w:bCs w:val="false"/>
          <w:i w:val="false"/>
          <w:iCs w:val="false"/>
          <w:sz w:val="28"/>
          <w:szCs w:val="28"/>
          <w:rtl/>
        </w:rPr>
        <w:t xml:space="preserve"> فأقبل عليه القومُ فزجروه، فأدناه النبيُّ ﷺ منه وقال: </w:t>
      </w:r>
      <w:r>
        <w:rPr>
          <w:rFonts w:ascii="Traditional Arabic" w:cs="Traditional Arabic" w:eastAsia="Traditional Arabic" w:hAnsi="Traditional Arabic"/>
          <w:b/>
          <w:bCs/>
          <w:i w:val="false"/>
          <w:iCs w:val="false"/>
          <w:sz w:val="28"/>
          <w:szCs w:val="28"/>
          <w:rtl/>
        </w:rPr>
        <w:t xml:space="preserve">«أتُحبُّه لأمّك؟» قال: لا واللهِ، جعلني اللهُ فداءك. قال: «ولا الناسُ يُحبّونه لأمّهاتهم». «أفتُحبُّه لابنتك؟» قال: لا. قال: «ولا الناسُ يُحبّونه لبناتهم»… ثم وضع يدَه عليه وقال: «اللهمّ اغفِرْ ذنبَه، وطهِّرْ قلبَه، وحصِّنْ فرجَه»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فلم يكن بعدُ يلتفتُ إلى شيء</w:t>
      </w:r>
      <w:r>
        <w:rPr>
          <w:rStyle w:val="FootnoteReference"/>
        </w:rPr>
        <w:footnoteReference w:id="9"/>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شابّ: </w:t>
      </w:r>
      <w:r>
        <w:rPr>
          <w:rFonts w:ascii="Traditional Arabic" w:cs="Traditional Arabic" w:eastAsia="Traditional Arabic" w:hAnsi="Traditional Arabic"/>
          <w:b/>
          <w:bCs/>
          <w:i w:val="false"/>
          <w:iCs w:val="false"/>
          <w:sz w:val="28"/>
          <w:szCs w:val="28"/>
          <w:rtl/>
        </w:rPr>
        <w:t xml:space="preserve">لك أمٌّ ولك أختٌ وغدًا زوجةٌ وبعدَ غدٍ ابنة — أترضاه لهنّ؟</w:t>
      </w:r>
      <w:r>
        <w:rPr>
          <w:rFonts w:ascii="Traditional Arabic" w:cs="Traditional Arabic" w:eastAsia="Traditional Arabic" w:hAnsi="Traditional Arabic"/>
          <w:b w:val="false"/>
          <w:bCs w:val="false"/>
          <w:i w:val="false"/>
          <w:iCs w:val="false"/>
          <w:sz w:val="28"/>
          <w:szCs w:val="28"/>
          <w:rtl/>
        </w:rPr>
        <w:t xml:space="preserve"> وإيّاك أن تقول: «أنا أزني بالزواني وأمّا بناتي فأربّيهنّ»؛ </w:t>
      </w:r>
      <w:r>
        <w:rPr>
          <w:rFonts w:ascii="Traditional Arabic" w:cs="Traditional Arabic" w:eastAsia="Traditional Arabic" w:hAnsi="Traditional Arabic"/>
          <w:b/>
          <w:bCs/>
          <w:i w:val="false"/>
          <w:iCs w:val="false"/>
          <w:sz w:val="28"/>
          <w:szCs w:val="28"/>
          <w:rtl/>
        </w:rPr>
        <w:t xml:space="preserve">﴿وَلْيَخْشَ الَّذِينَ لَوْ تَرَكُوا مِنْ خَلْفِهِمْ ذُرِّيَّةً ضِعَافًا خَافُوا عَلَيْهِمْ فَلْيَتَّقُوا اللَّهَ﴾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يُطهِّر قلوبَنا وبيوتَنا ومجتمعاتِنا من هذا الجُرم.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(٢/٤٤٠) والبخاري في «الأدب المفرد» (١١٩) وابن حبان والحاكم من حديث أبي هريرة ﵁، وصحّحه الألباني في «صحيح الأدب المفرد» (٩١) و«صحيح الترغيب» (٢٥٦٠) و«السلسلة الصحيحة» (١٩٠).</w:t>
      </w:r>
    </w:p>
  </w:footnote>
  <w:footnote w:id="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والترمذي (٢٣٠٥) من حديث أبي هريرة ﵁، وحسّنه الألباني في «صحيح الجامع» (١٠٠) و«السلسلة الصحيحة» (٩٣٠) — وهو تتمّةُ حديث «اتّقِ المحارمَ تكن أعبدَ الناس».</w:t>
      </w:r>
    </w:p>
  </w:footnote>
  <w:footnote w:id="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أثرٌ في كتب الرقائق والزهد، يُساق للاعتبار لا للاحتجاج؛ ومعناه مستفادٌ من نصوص الشرع في تعظيم حقوق العباد، ومنها حديث المفلس المتقدّم.</w:t>
      </w:r>
    </w:p>
  </w:footnote>
  <w:footnote w:id="4">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(١١٧٣) وابن خزيمة من حديث ابن مسعود ﵁، وصحّحه الألباني في «صحيح الجامع» (٦٦٩٠) و«الإرواء» (٢٧٣).</w:t>
      </w:r>
    </w:p>
  </w:footnote>
  <w:footnote w:id="5">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(٤٦٩٠) والترمذي والحاكم من حديث أبي هريرة ﵁، وحسّنه الألباني في «صحيح أبي داود» (٣٩٢٩) و«صحيح الجامع» (٥٣٠).</w:t>
      </w:r>
    </w:p>
  </w:footnote>
  <w:footnote w:id="6">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(٢/٣٠٥) والطبراني من حديث أبي هريرة ﵁ وعثمان بن أبي العاص ﵁، وحسّنه الألباني في «صحيح الترغيب» (٧٠٦) و«صحيح الجامع» (٢٥٠٤).</w:t>
      </w:r>
    </w:p>
  </w:footnote>
  <w:footnote w:id="7">
    <w:p>
      <w:pPr>
        <w:bidi/>
        <w:jc w:val="right"/>
      </w:pPr>
      <w:r>
        <w:rPr>
          <w:rStyle w:val="FootnoteReference"/>
        </w:rPr>
        <w:footnoteRef/>
      </w:r>
      <w:r>
        <w:rPr>
          <w:rFonts w:ascii="Traditional Arabic" w:cs="Traditional Arabic" w:eastAsia="Traditional Arabic" w:hAnsi="Traditional Arabic"/>
          <w:sz w:val="20"/>
          <w:szCs w:val="20"/>
          <w:rtl/>
        </w:rPr>
        <w:t xml:space="preserve">أخرجه أحمد والبيهقي وغيرهما ضمن أحاديث الإسراء، وله شواهد؛ وقد صحّح الألباني حديثَ الإسراء بمشاهد العذاب في «السلسلة الصحيحة». ولم أقف على حكمٍ لإمامٍ على هذا اللفظ بعينه في كتب الشيخ الحاضرة في المكتبة، فيُذكر مع التنبيه.</w:t>
      </w:r>
    </w:p>
  </w:footnote>
  <w:footnote w:id="8">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(٢١٤٩) والترمذي وأحمد من حديث بريدة ﵁، وحسّنه الألباني في «صحيح الجامع» (٧٩٥٣) و«الإرواء» (١٨٦٤).</w:t>
      </w:r>
    </w:p>
  </w:footnote>
  <w:footnote w:id="9">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(٥/٢٥٦) والطبراني من حديث أبي أُمامة ﵁، وصحّحه الألباني في «السلسلة الصحيحة» (٣٧٠).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التحذيرُ من الفواحش — الزنا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2026-08-01T18:03:05.397Z</dcterms:created>
  <dcterms:modified xsi:type="dcterms:W3CDTF">2026-08-01T18:03:05.397Z</dcterms:modified>
</cp:coreProperties>
</file>

<file path=docProps/custom.xml><?xml version="1.0" encoding="utf-8"?>
<Properties xmlns="http://schemas.openxmlformats.org/officeDocument/2006/custom-properties" xmlns:vt="http://schemas.openxmlformats.org/officeDocument/2006/docPropsVTypes"/>
</file>