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فضائلُ القرآنِ العظيم</w:t>
      </w:r>
    </w:p>
    <w:p>
      <w:pPr>
        <w:spacing w:after="120"/>
      </w:pPr>
      <w:r>
        <w:rPr>
          <w:color w:val="8A6A1F"/>
          <w:sz w:val="36"/>
          <w:szCs w:val="36"/>
        </w:rPr>
        <w:t xml:space="preserve">أربعُ فضائل، ونماذجُ من إقبالِ السلفِ على كتابِ الله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تَوَسُّلٌ عجيب</w:t>
      </w:r>
    </w:p>
    <w:p>
      <w:pPr>
        <w:spacing w:after="140" w:line="340" w:lineRule="auto"/>
        <w:jc w:val="both"/>
      </w:pPr>
      <w:r>
        <w:rPr>
          <w:color w:val="1A1A1A"/>
          <w:sz w:val="36"/>
          <w:szCs w:val="36"/>
        </w:rPr>
        <w:t xml:space="preserve">وبعدُ، أحبَّتي في الله، معاشرَ المصلِّين: ما هذا التوسُّلُ العجيبُ الذي جمعَ فيه النبيُّ ﷺ أسماءَ اللهِ كلَّها بين يدَي مسألتِه؟ وعلى أيِّ شيءٍ يكونُ هذا التوسُّل؟ اسمَعْ يا مسلم:</w:t>
      </w:r>
    </w:p>
    <w:p>
      <w:pPr>
        <w:pBdr>
          <w:right w:val="single" w:sz="12" w:space="10" w:color="8A6A1F"/>
        </w:pBdr>
        <w:spacing w:before="120" w:after="160" w:line="320" w:lineRule="auto"/>
        <w:ind w:left="504" w:right="504"/>
        <w:jc w:val="both"/>
      </w:pPr>
      <w:r>
        <w:rPr>
          <w:b/>
          <w:bCs/>
          <w:color w:val="1F5C3A"/>
          <w:sz w:val="36"/>
          <w:szCs w:val="36"/>
        </w:rPr>
        <w:t xml:space="preserve">«اللهم إني عبدُك، ابنُ عبدِك، ابنُ أمَتِك...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Pr>
          <w:rStyle w:val="a5"/>
          <w:sz w:val="36"/>
          <w:szCs w:val="36"/>
        </w:rPr>
        <w:footnoteReference w:id="1"/>
      </w:r>
    </w:p>
    <w:p>
      <w:pPr>
        <w:spacing w:after="140" w:line="340" w:lineRule="auto"/>
        <w:jc w:val="both"/>
      </w:pPr>
      <w:r>
        <w:rPr>
          <w:color w:val="1A1A1A"/>
          <w:sz w:val="36"/>
          <w:szCs w:val="36"/>
        </w:rPr>
        <w:t xml:space="preserve">يجمَعُ ﷺ أسماءَ اللهِ الحسنى كلَّها ليسألَ بها **أن يكونَ القرآنُ ربيعَ قلبِه**! وهذا يدُلُّنا على أنّ للقرآنِ من الفضائلِ ما اللهُ به عليم، وأننا في غفلةٍ شديدةٍ عنها؛ غفلةٌ أورثَتْنا هَجرًا لكلامِ الله: هَجرَ قراءةٍ وحفظ، وهَجرَ تدبُّرٍ وعمل، وهَجرَ تحكيم.</w:t>
      </w:r>
    </w:p>
    <w:p>
      <w:pPr>
        <w:spacing w:after="140" w:line="340" w:lineRule="auto"/>
        <w:jc w:val="both"/>
      </w:pPr>
      <w:r>
        <w:rPr>
          <w:color w:val="1A1A1A"/>
          <w:sz w:val="36"/>
          <w:szCs w:val="36"/>
        </w:rPr>
        <w:t xml:space="preserve">فحديثي اليومَ عن شيءٍ يسيرٍ من فضائلِ القرآن.</w:t>
      </w:r>
    </w:p>
    <w:p>
      <w:pPr>
        <w:spacing w:before="260" w:after="120"/>
      </w:pPr>
      <w:r>
        <w:rPr>
          <w:b/>
          <w:bCs/>
          <w:color w:val="1F5C3A"/>
          <w:sz w:val="36"/>
          <w:szCs w:val="36"/>
        </w:rPr>
        <w:t xml:space="preserve">أولًا: أنه سببٌ للرِّفعة</w:t>
      </w:r>
    </w:p>
    <w:p>
      <w:pPr>
        <w:spacing w:after="140" w:line="340" w:lineRule="auto"/>
        <w:jc w:val="both"/>
      </w:pPr>
      <w:r>
        <w:rPr>
          <w:color w:val="1A1A1A"/>
          <w:sz w:val="36"/>
          <w:szCs w:val="36"/>
        </w:rPr>
        <w:t xml:space="preserve">يا من يُفني عمرَه في سبيلِ رِفعةٍ في الدنيا آخِرُها هُبوط: قال تعالى: </w:t>
      </w:r>
      <w:r>
        <w:rPr>
          <w:b/>
          <w:bCs/>
          <w:color w:val="8A6A1F"/>
          <w:sz w:val="36"/>
          <w:szCs w:val="36"/>
        </w:rPr>
        <w:t xml:space="preserve">﴿يَرْفَعِ اللَّهُ الَّذِينَ آمَنُوا مِنكُمْ وَالَّذِينَ أُوتُوا الْعِلْمَ دَرَجَاتٍ﴾</w:t>
      </w:r>
      <w:r>
        <w:rPr>
          <w:color w:val="1A1A1A"/>
          <w:sz w:val="36"/>
          <w:szCs w:val="36"/>
        </w:rPr>
        <w:t xml:space="preserve">. وأخرجَ مسلمٌ من حديث عمرَ ﵁ قولَه ﷺ:</w:t>
      </w:r>
    </w:p>
    <w:p>
      <w:pPr>
        <w:pBdr>
          <w:right w:val="single" w:sz="12" w:space="10" w:color="8A6A1F"/>
        </w:pBdr>
        <w:spacing w:before="120" w:after="160" w:line="320" w:lineRule="auto"/>
        <w:ind w:left="504" w:right="504"/>
        <w:jc w:val="both"/>
      </w:pPr>
      <w:r>
        <w:rPr>
          <w:b/>
          <w:bCs/>
          <w:color w:val="1F5C3A"/>
          <w:sz w:val="36"/>
          <w:szCs w:val="36"/>
        </w:rPr>
        <w:t xml:space="preserve">«إنّ اللهَ يرفعُ بهذا الكتابِ أقوامًا، ويضَعُ به آخَرين»</w:t>
      </w:r>
      <w:r>
        <w:rPr>
          <w:rStyle w:val="a5"/>
          <w:sz w:val="36"/>
          <w:szCs w:val="36"/>
        </w:rPr>
        <w:footnoteReference w:id="2"/>
      </w:r>
    </w:p>
    <w:p>
      <w:pPr>
        <w:spacing w:after="140" w:line="340" w:lineRule="auto"/>
        <w:jc w:val="both"/>
      </w:pPr>
      <w:r>
        <w:rPr>
          <w:color w:val="1A1A1A"/>
          <w:sz w:val="36"/>
          <w:szCs w:val="36"/>
        </w:rPr>
        <w:t xml:space="preserve">فطوبى لعبدٍ رفعَه اللهُ بالقرآن! وأقبِحْ بعبدٍ كان يسَعُه أن يرتفعَ فما ارتفَع. وقد قال ﷺ:</w:t>
      </w:r>
    </w:p>
    <w:p>
      <w:pPr>
        <w:pBdr>
          <w:right w:val="single" w:sz="12" w:space="10" w:color="8A6A1F"/>
        </w:pBdr>
        <w:spacing w:before="120" w:after="160" w:line="320" w:lineRule="auto"/>
        <w:ind w:left="504" w:right="504"/>
        <w:jc w:val="both"/>
      </w:pPr>
      <w:r>
        <w:rPr>
          <w:b/>
          <w:bCs/>
          <w:color w:val="1F5C3A"/>
          <w:sz w:val="36"/>
          <w:szCs w:val="36"/>
        </w:rPr>
        <w:t xml:space="preserve">«يُقالُ لصاحبِ القرآن: اقرَأْ وارتَقِ ورتِّلْ كما كنتَ تُرتِّلُ في الدنيا؛ فإنّ منزلتَك عند آخِرِ آيةٍ تقرؤها»</w:t>
      </w:r>
      <w:r>
        <w:rPr>
          <w:rStyle w:val="a5"/>
          <w:sz w:val="36"/>
          <w:szCs w:val="36"/>
        </w:rPr>
        <w:footnoteReference w:id="3"/>
      </w:r>
    </w:p>
    <w:p>
      <w:pPr>
        <w:spacing w:after="140" w:line="340" w:lineRule="auto"/>
        <w:jc w:val="both"/>
      </w:pPr>
      <w:r>
        <w:rPr>
          <w:color w:val="1A1A1A"/>
          <w:sz w:val="36"/>
          <w:szCs w:val="36"/>
        </w:rPr>
        <w:t xml:space="preserve">فأسألُك: ما آخِرُ آيةٍ تحفَظُها وتعمَلُ بها؟ فتلك منزلتُك!</w:t>
      </w:r>
    </w:p>
    <w:p>
      <w:pPr>
        <w:spacing w:after="140" w:line="340" w:lineRule="auto"/>
        <w:jc w:val="both"/>
      </w:pPr>
      <w:r>
        <w:rPr>
          <w:color w:val="1A1A1A"/>
          <w:sz w:val="36"/>
          <w:szCs w:val="36"/>
        </w:rPr>
        <w:t xml:space="preserve">**واللهِ** لو سألتُ الحاضرين: من كان الخليفةَ في زمنِ البخاريِّ؟ لَما عرَفَه أحد؛ ولكنّ برَّ الأمَّةِ وفاجرَها يعرِفُ البخاريَّ ويعرِفُ نافعًا وورشًا وعاصمًا. فتلك رِفعةُ القرآن.</w:t>
      </w:r>
    </w:p>
    <w:p>
      <w:pPr>
        <w:spacing w:before="260" w:after="120"/>
      </w:pPr>
      <w:r>
        <w:rPr>
          <w:b/>
          <w:bCs/>
          <w:color w:val="1F5C3A"/>
          <w:sz w:val="36"/>
          <w:szCs w:val="36"/>
        </w:rPr>
        <w:t xml:space="preserve">ثانيًا: أنه من أعظمِ القُرُبات</w:t>
      </w:r>
    </w:p>
    <w:p>
      <w:pPr>
        <w:spacing w:after="140" w:line="340" w:lineRule="auto"/>
        <w:jc w:val="both"/>
      </w:pPr>
      <w:r>
        <w:rPr>
          <w:color w:val="1A1A1A"/>
          <w:sz w:val="36"/>
          <w:szCs w:val="36"/>
        </w:rPr>
        <w:t xml:space="preserve">فأنت تبحثُ عن طاعةٍ فلا تقوى على جهادٍ ولا قيامِ ليلٍ ولا صيامِ نهار؛ ثم تقوى على قراءةِ وجهٍ واحدٍ من المصحف! قال ﷺ:</w:t>
      </w:r>
    </w:p>
    <w:p>
      <w:pPr>
        <w:pBdr>
          <w:right w:val="single" w:sz="12" w:space="10" w:color="8A6A1F"/>
        </w:pBdr>
        <w:spacing w:before="120" w:after="160" w:line="320" w:lineRule="auto"/>
        <w:ind w:left="504" w:right="504"/>
        <w:jc w:val="both"/>
      </w:pPr>
      <w:r>
        <w:rPr>
          <w:b/>
          <w:bCs/>
          <w:color w:val="1F5C3A"/>
          <w:sz w:val="36"/>
          <w:szCs w:val="36"/>
        </w:rPr>
        <w:t xml:space="preserve">«مَن قرأَ حرفًا من كتابِ اللهِ فله به حسنة، والحسنةُ بعشرِ أمثالِها؛ لا أقولُ ﴿الم﴾ حرف، ولكنْ ألِفٌ حرف، ولامٌ حرف، وميمٌ حرف»</w:t>
      </w:r>
      <w:r>
        <w:rPr>
          <w:rStyle w:val="a5"/>
          <w:sz w:val="36"/>
          <w:szCs w:val="36"/>
        </w:rPr>
        <w:footnoteReference w:id="4"/>
      </w:r>
    </w:p>
    <w:p>
      <w:pPr>
        <w:spacing w:after="140" w:line="340" w:lineRule="auto"/>
        <w:jc w:val="both"/>
      </w:pPr>
      <w:r>
        <w:rPr>
          <w:color w:val="1A1A1A"/>
          <w:sz w:val="36"/>
          <w:szCs w:val="36"/>
        </w:rPr>
        <w:t xml:space="preserve">فوجهٌ واحدٌ يُقارِبُ آلافَ الحسنات، لا يأخُذُ منك دقيقة! وقال خَبّابُ بنُ الأرَتِّ ﵁ لرجل:</w:t>
      </w:r>
    </w:p>
    <w:p>
      <w:pPr>
        <w:pBdr>
          <w:right w:val="single" w:sz="12" w:space="10" w:color="8A6A1F"/>
        </w:pBdr>
        <w:spacing w:before="120" w:after="160" w:line="320" w:lineRule="auto"/>
        <w:ind w:left="504" w:right="504"/>
        <w:jc w:val="both"/>
      </w:pPr>
      <w:r>
        <w:rPr>
          <w:b/>
          <w:bCs/>
          <w:color w:val="1F5C3A"/>
          <w:sz w:val="36"/>
          <w:szCs w:val="36"/>
        </w:rPr>
        <w:t xml:space="preserve">«تقرَّبْ إلى اللهِ ما استطعتَ، واعلَمْ أنك لن تتقرَّبَ إليه بشيءٍ أحبَّ إليه من كلامِه»</w:t>
      </w:r>
      <w:r>
        <w:rPr>
          <w:rStyle w:val="a5"/>
          <w:sz w:val="36"/>
          <w:szCs w:val="36"/>
        </w:rPr>
        <w:footnoteReference w:id="5"/>
      </w:r>
    </w:p>
    <w:p>
      <w:pPr>
        <w:spacing w:before="260" w:after="120"/>
      </w:pPr>
      <w:r>
        <w:rPr>
          <w:b/>
          <w:bCs/>
          <w:color w:val="1F5C3A"/>
          <w:sz w:val="36"/>
          <w:szCs w:val="36"/>
        </w:rPr>
        <w:t xml:space="preserve">ثالثًا: أنّ الإقبالَ عليه اصطفاءٌ من الله</w:t>
      </w:r>
    </w:p>
    <w:p>
      <w:pPr>
        <w:spacing w:after="140" w:line="340" w:lineRule="auto"/>
        <w:jc w:val="both"/>
      </w:pPr>
      <w:r>
        <w:rPr>
          <w:color w:val="1A1A1A"/>
          <w:sz w:val="36"/>
          <w:szCs w:val="36"/>
        </w:rPr>
        <w:t xml:space="preserve">قال تعالى:</w:t>
      </w:r>
    </w:p>
    <w:p>
      <w:pPr>
        <w:pBdr>
          <w:right w:val="single" w:sz="12" w:space="10" w:color="8A6A1F"/>
        </w:pBdr>
        <w:spacing w:before="120" w:after="160" w:line="320" w:lineRule="auto"/>
        <w:ind w:left="504" w:right="504"/>
        <w:jc w:val="both"/>
      </w:pPr>
      <w:r>
        <w:rPr>
          <w:b/>
          <w:bCs/>
          <w:color w:val="8A6A1F"/>
          <w:sz w:val="36"/>
          <w:szCs w:val="36"/>
        </w:rPr>
        <w:t xml:space="preserve">﴿ثُمَّ أَوْرَثْنَا الْكِتَابَ الَّذِينَ اصْطَفَيْنَا مِنْ عِبَادِنَا﴾</w:t>
      </w:r>
    </w:p>
    <w:p>
      <w:pPr>
        <w:spacing w:after="140" w:line="340" w:lineRule="auto"/>
        <w:jc w:val="both"/>
      </w:pPr>
      <w:r>
        <w:rPr>
          <w:color w:val="1A1A1A"/>
          <w:sz w:val="36"/>
          <w:szCs w:val="36"/>
        </w:rPr>
        <w:t xml:space="preserve">فإن كنتَ تحفَظُ شيئًا من كلامِ الله، ويشغَلُك القرآنُ ويشغَلُ ولدَك ـ فأَبشِرْ؛ فقد اصطفاك اللهُ واختارَك. وقال أبو الجَوزاءِ ﵀: **</w:t>
      </w:r>
      <w:r>
        <w:rPr>
          <w:b/>
          <w:bCs/>
          <w:color w:val="1F5C3A"/>
          <w:sz w:val="36"/>
          <w:szCs w:val="36"/>
        </w:rPr>
        <w:t xml:space="preserve">«لَنقلُ الحجارةِ أخَفُّ على المنافقِ من قراءةِ القرآن»</w:t>
      </w:r>
      <w:r>
        <w:rPr>
          <w:color w:val="1A1A1A"/>
          <w:sz w:val="36"/>
          <w:szCs w:val="36"/>
        </w:rPr>
        <w:t xml:space="preserve">**؛ فإن كنتَ تتثاقَلُ عن كلامِ اللهِ فراجِعْ قلبَك.</w:t>
      </w:r>
      <w:r>
        <w:rPr>
          <w:rStyle w:val="a5"/>
          <w:sz w:val="36"/>
          <w:szCs w:val="36"/>
        </w:rPr>
        <w:footnoteReference w:id="6"/>
      </w:r>
    </w:p>
    <w:p>
      <w:pPr>
        <w:spacing w:before="260" w:after="120"/>
      </w:pPr>
      <w:r>
        <w:rPr>
          <w:b/>
          <w:bCs/>
          <w:color w:val="1F5C3A"/>
          <w:sz w:val="36"/>
          <w:szCs w:val="36"/>
        </w:rPr>
        <w:t xml:space="preserve">رابعًا: أنه شفيعٌ لصاحبِه يومَ القيامة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«اقرَؤوا القرآن؛ فإنه يأتي يومَ القيامةِ شفيعًا لأصحابِه»</w:t>
      </w:r>
      <w:r>
        <w:rPr>
          <w:rStyle w:val="a5"/>
          <w:sz w:val="36"/>
          <w:szCs w:val="36"/>
        </w:rPr>
        <w:footnoteReference w:id="7"/>
      </w:r>
    </w:p>
    <w:p>
      <w:pPr>
        <w:spacing w:after="140" w:line="340" w:lineRule="auto"/>
        <w:jc w:val="both"/>
      </w:pPr>
      <w:r>
        <w:rPr>
          <w:color w:val="1A1A1A"/>
          <w:sz w:val="36"/>
          <w:szCs w:val="36"/>
        </w:rPr>
        <w:t xml:space="preserve">فمن ذا الذي يُحاجِجُ عنك في يومِ الهَولِ العظيم؟ إنه القرآنُ الذي كنتَ تتلوه وتتدبَّرُه.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يا من قلَّ إقبالُه على القرآن، وخيطُ مصحفِه في الموضعِ الذي ترَكَه فيه في رمضان: تأمَّلوا في إقبالِ من سبَق.</w:t>
      </w:r>
    </w:p>
    <w:p>
      <w:pPr>
        <w:spacing w:before="260" w:after="120"/>
      </w:pPr>
      <w:r>
        <w:rPr>
          <w:b/>
          <w:bCs/>
          <w:color w:val="1F5C3A"/>
          <w:sz w:val="36"/>
          <w:szCs w:val="36"/>
        </w:rPr>
        <w:t xml:space="preserve">خامسًا: نماذجُ من الإقبالِ على القرآن</w:t>
      </w:r>
    </w:p>
    <w:p>
      <w:pPr>
        <w:spacing w:before="200" w:after="100"/>
      </w:pPr>
      <w:r>
        <w:rPr>
          <w:b/>
          <w:bCs/>
          <w:color w:val="1A1A1A"/>
          <w:sz w:val="36"/>
          <w:szCs w:val="36"/>
        </w:rPr>
        <w:t xml:space="preserve">الملائكة</w:t>
      </w:r>
    </w:p>
    <w:p>
      <w:pPr>
        <w:spacing w:after="140" w:line="340" w:lineRule="auto"/>
        <w:jc w:val="both"/>
      </w:pPr>
      <w:r>
        <w:rPr>
          <w:color w:val="1A1A1A"/>
          <w:sz w:val="36"/>
          <w:szCs w:val="36"/>
        </w:rPr>
        <w:t xml:space="preserve">وهم عبادٌ مُكرَمون لا يعصون اللهَ ما أمرَهم؛ ومع ذلك انظُرْ إلى إقبالِهم. ففي </w:t>
      </w:r>
      <w:r>
        <w:rPr>
          <w:b/>
          <w:bCs/>
          <w:color w:val="1F5C3A"/>
          <w:sz w:val="36"/>
          <w:szCs w:val="36"/>
        </w:rPr>
        <w:t xml:space="preserve">«الصحيحين»</w:t>
      </w:r>
      <w:r>
        <w:rPr>
          <w:color w:val="1A1A1A"/>
          <w:sz w:val="36"/>
          <w:szCs w:val="36"/>
        </w:rPr>
        <w:t xml:space="preserve"> أنّ أُسَيدَ بنَ حُضَيرٍ ﵁ كان يقرأُ سورةَ البقرةِ وفرَسُه مربوطة، فجالَتِ الفرَس؛ فسكَت، ثم قرأ فجالَتْ. قال: فرفعتُ رأسي إلى السماءِ فإذا مِثلُ الظُّلَّةِ فيها أمثالُ المصابيح. فذكَرَ ذلك للنبيِّ ﷺ فقال:</w:t>
      </w:r>
    </w:p>
    <w:p>
      <w:pPr>
        <w:pBdr>
          <w:right w:val="single" w:sz="12" w:space="10" w:color="8A6A1F"/>
        </w:pBdr>
        <w:spacing w:before="120" w:after="160" w:line="320" w:lineRule="auto"/>
        <w:ind w:left="504" w:right="504"/>
        <w:jc w:val="both"/>
      </w:pPr>
      <w:r>
        <w:rPr>
          <w:b/>
          <w:bCs/>
          <w:color w:val="1F5C3A"/>
          <w:sz w:val="36"/>
          <w:szCs w:val="36"/>
        </w:rPr>
        <w:t xml:space="preserve">«تلك الملائكةُ كانت تستمِعُ لك؛ ولو قرأتَ لأصبحَتْ يَنظُرُ الناسُ إليها لا تتوارى منهم»</w:t>
      </w:r>
      <w:r>
        <w:rPr>
          <w:rStyle w:val="a5"/>
          <w:sz w:val="36"/>
          <w:szCs w:val="36"/>
        </w:rPr>
        <w:footnoteReference w:id="8"/>
      </w:r>
    </w:p>
    <w:p>
      <w:pPr>
        <w:spacing w:before="200" w:after="100"/>
      </w:pPr>
      <w:r>
        <w:rPr>
          <w:b/>
          <w:bCs/>
          <w:color w:val="1A1A1A"/>
          <w:sz w:val="36"/>
          <w:szCs w:val="36"/>
        </w:rPr>
        <w:t xml:space="preserve">الجِنّ</w:t>
      </w:r>
    </w:p>
    <w:p>
      <w:pPr>
        <w:spacing w:after="140" w:line="340" w:lineRule="auto"/>
        <w:jc w:val="both"/>
      </w:pPr>
      <w:r>
        <w:rPr>
          <w:b/>
          <w:bCs/>
          <w:color w:val="8A6A1F"/>
          <w:sz w:val="36"/>
          <w:szCs w:val="36"/>
        </w:rPr>
        <w:t xml:space="preserve">﴿قُلْ أُوحِيَ إِلَيَّ أَنَّهُ اسْتَمَعَ نَفَرٌ مِّنَ الْجِنِّ فَقَالُوا إِنَّا سَمِعْنَا قُرْآنًا عَجَبًا ۝ يَهْدِي إِلَى الرُّشْدِ فَآمَنَّا بِهِ﴾</w:t>
      </w:r>
      <w:r>
        <w:rPr>
          <w:color w:val="1A1A1A"/>
          <w:sz w:val="36"/>
          <w:szCs w:val="36"/>
        </w:rPr>
        <w:t xml:space="preserve">؛ فحوَّلَهم القرآنُ من الشِّركِ إلى التوحيد، فرجَعوا إلى قومِهم مُنذِرين.</w:t>
      </w:r>
    </w:p>
    <w:p>
      <w:pPr>
        <w:spacing w:before="200" w:after="100"/>
      </w:pPr>
      <w:r>
        <w:rPr>
          <w:b/>
          <w:bCs/>
          <w:color w:val="1A1A1A"/>
          <w:sz w:val="36"/>
          <w:szCs w:val="36"/>
        </w:rPr>
        <w:t xml:space="preserve">الصحابةُ ﵃</w:t>
      </w:r>
    </w:p>
    <w:p>
      <w:pPr>
        <w:spacing w:after="140" w:line="340" w:lineRule="auto"/>
        <w:jc w:val="both"/>
      </w:pPr>
      <w:r>
        <w:rPr>
          <w:color w:val="1A1A1A"/>
          <w:sz w:val="36"/>
          <w:szCs w:val="36"/>
        </w:rPr>
        <w:t xml:space="preserve">يقولُ أبو موسى الأشعريُّ ﵁ ـ وقد قال له النبيُّ ﷺ: **</w:t>
      </w:r>
      <w:r>
        <w:rPr>
          <w:b/>
          <w:bCs/>
          <w:color w:val="1F5C3A"/>
          <w:sz w:val="36"/>
          <w:szCs w:val="36"/>
        </w:rPr>
        <w:t xml:space="preserve">«لقد أُوتيتَ مِزمارًا من مَزاميرِ آلِ داود»</w:t>
      </w:r>
      <w:r>
        <w:rPr>
          <w:color w:val="1A1A1A"/>
          <w:sz w:val="36"/>
          <w:szCs w:val="36"/>
        </w:rPr>
        <w:t xml:space="preserve">**.</w:t>
      </w:r>
      <w:r>
        <w:rPr>
          <w:rStyle w:val="a5"/>
          <w:sz w:val="36"/>
          <w:szCs w:val="36"/>
        </w:rPr>
        <w:footnoteReference w:id="9"/>
      </w:r>
      <w:r>
        <w:rPr>
          <w:color w:val="1A1A1A"/>
          <w:sz w:val="36"/>
          <w:szCs w:val="36"/>
        </w:rPr>
        <w:t xml:space="preserve"> وقال ﷺ:</w:t>
      </w:r>
    </w:p>
    <w:p>
      <w:pPr>
        <w:pBdr>
          <w:right w:val="single" w:sz="12" w:space="10" w:color="8A6A1F"/>
        </w:pBdr>
        <w:spacing w:before="120" w:after="160" w:line="320" w:lineRule="auto"/>
        <w:ind w:left="504" w:right="504"/>
        <w:jc w:val="both"/>
      </w:pPr>
      <w:r>
        <w:rPr>
          <w:b/>
          <w:bCs/>
          <w:color w:val="1F5C3A"/>
          <w:sz w:val="36"/>
          <w:szCs w:val="36"/>
        </w:rPr>
        <w:t xml:space="preserve">«إني لَأعرِفُ أصواتَ رُفقةِ الأشعريِّينَ بالقرآنِ حين يدخُلون بالليل، وأعرِفُ منازلَهم من أصواتِهم بالقرآنِ بالليل، وإن كنتُ لم أَرَ منازلَهم حين نزَلوا بالنهار»</w:t>
      </w:r>
      <w:r>
        <w:rPr>
          <w:rStyle w:val="a5"/>
          <w:sz w:val="36"/>
          <w:szCs w:val="36"/>
        </w:rPr>
        <w:footnoteReference w:id="10"/>
      </w:r>
    </w:p>
    <w:p>
      <w:pPr>
        <w:spacing w:after="140" w:line="340" w:lineRule="auto"/>
        <w:jc w:val="both"/>
      </w:pPr>
      <w:r>
        <w:rPr>
          <w:color w:val="1A1A1A"/>
          <w:sz w:val="36"/>
          <w:szCs w:val="36"/>
        </w:rPr>
        <w:t xml:space="preserve">فبيوتُهم تُعرَفُ بالليلِ من قراءةِ القرآن! فهل يُعرَفُ بيتُك؟</w:t>
      </w:r>
    </w:p>
    <w:p>
      <w:pPr>
        <w:spacing w:after="140" w:line="340" w:lineRule="auto"/>
        <w:jc w:val="both"/>
      </w:pPr>
      <w:r>
        <w:rPr>
          <w:color w:val="1A1A1A"/>
          <w:sz w:val="36"/>
          <w:szCs w:val="36"/>
        </w:rPr>
        <w:t xml:space="preserve">وقال ﷺ في عبدِ اللهِ بنِ عمرِو بنِ حَرامٍ ـ أو نحوِه: **</w:t>
      </w:r>
      <w:r>
        <w:rPr>
          <w:b/>
          <w:bCs/>
          <w:color w:val="1F5C3A"/>
          <w:sz w:val="36"/>
          <w:szCs w:val="36"/>
        </w:rPr>
        <w:t xml:space="preserve">«ذاك رجلٌ لا يتوسَّدُ القرآن»</w:t>
      </w:r>
      <w:r>
        <w:rPr>
          <w:color w:val="1A1A1A"/>
          <w:sz w:val="36"/>
          <w:szCs w:val="36"/>
        </w:rPr>
        <w:t xml:space="preserve">** ـ أي لا ينامُ عنه.</w:t>
      </w:r>
      <w:r>
        <w:rPr>
          <w:rStyle w:val="a5"/>
          <w:sz w:val="36"/>
          <w:szCs w:val="36"/>
        </w:rPr>
        <w:footnoteReference w:id="11"/>
      </w:r>
    </w:p>
    <w:p>
      <w:pPr>
        <w:spacing w:before="200" w:after="100"/>
      </w:pPr>
      <w:r>
        <w:rPr>
          <w:b/>
          <w:bCs/>
          <w:color w:val="1A1A1A"/>
          <w:sz w:val="36"/>
          <w:szCs w:val="36"/>
        </w:rPr>
        <w:t xml:space="preserve">الإمامُ مالكٌ ﵀</w:t>
      </w:r>
    </w:p>
    <w:p>
      <w:pPr>
        <w:spacing w:after="140" w:line="340" w:lineRule="auto"/>
        <w:jc w:val="both"/>
      </w:pPr>
      <w:r>
        <w:rPr>
          <w:color w:val="1A1A1A"/>
          <w:sz w:val="36"/>
          <w:szCs w:val="36"/>
        </w:rPr>
        <w:t xml:space="preserve">قال عبدُ اللهِ بنُ وهبٍ: كنّا نعجَبُ من استحضارِ مالكٍ للقرآنِ ونَزعِه منه؛ فسألنا أختَه عن شُغلِه في بيتِه، فقالت: **المصحف**؛ لا يشتغِلُ في بيتِه بشيءٍ سواه.</w:t>
      </w:r>
      <w:r>
        <w:rPr>
          <w:rStyle w:val="a5"/>
          <w:sz w:val="36"/>
          <w:szCs w:val="36"/>
        </w:rPr>
        <w:footnoteReference w:id="12"/>
      </w:r>
    </w:p>
    <w:p>
      <w:pPr>
        <w:spacing w:before="200" w:after="100"/>
      </w:pPr>
      <w:r>
        <w:rPr>
          <w:b/>
          <w:bCs/>
          <w:color w:val="1A1A1A"/>
          <w:sz w:val="36"/>
          <w:szCs w:val="36"/>
        </w:rPr>
        <w:t xml:space="preserve">شيخُ الإسلامِ ابنُ تيميةَ ﵀</w:t>
      </w:r>
    </w:p>
    <w:p>
      <w:pPr>
        <w:spacing w:after="140" w:line="340" w:lineRule="auto"/>
        <w:jc w:val="both"/>
      </w:pPr>
      <w:r>
        <w:rPr>
          <w:color w:val="1A1A1A"/>
          <w:sz w:val="36"/>
          <w:szCs w:val="36"/>
        </w:rPr>
        <w:t xml:space="preserve">وهو الذي لم يترُكْ ميدانًا من ميادينِ العلمِ والجهادِ إلا خاضَه؛ ومع ذلك قال في آخِرِ حياتِه ما معناه: **ندِمتُ أني لم أصرِفْ عُمُري كلَّه في معاني القرآن.**</w:t>
      </w:r>
      <w:r>
        <w:rPr>
          <w:rStyle w:val="a5"/>
          <w:sz w:val="36"/>
          <w:szCs w:val="36"/>
        </w:rPr>
        <w:footnoteReference w:id="13"/>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فبأيِّ شيءٍ انقضى عُمُرُك؟ وفيمَ كَلَّ بصرُك وتعِبَتْ أصابعُك؟ إننا نجلِسُ الساعاتِ الطِّوالَ نُقلِّبُ ما لا ينفَعُنا، ثم نعجِزُ عن حروفٍ تُحاجِجُ عنّا يومَ القيامة!</w:t>
      </w:r>
    </w:p>
    <w:p>
      <w:pPr>
        <w:spacing w:after="140" w:line="340" w:lineRule="auto"/>
        <w:jc w:val="both"/>
      </w:pPr>
      <w:r>
        <w:rPr>
          <w:color w:val="1A1A1A"/>
          <w:sz w:val="36"/>
          <w:szCs w:val="36"/>
        </w:rPr>
        <w:t xml:space="preserve">**فأوَّلُ ما نحتاجُه أن نُقدِّرَ القرآنَ قدرَه**، ثم أن نُنظِّمَ أوقاتَنا فنجعَلَه في أعلى أولوياتِنا. وقد كان السلفُ يكرَهون أن يمُرَّ على المسلمِ أكثرُ من أربعين ليلةً لا يختِمُ فيها القرآن.</w:t>
      </w:r>
      <w:r>
        <w:rPr>
          <w:rStyle w:val="a5"/>
          <w:sz w:val="36"/>
          <w:szCs w:val="36"/>
        </w:rPr>
        <w:footnoteReference w:id="14"/>
      </w:r>
    </w:p>
    <w:p>
      <w:pPr>
        <w:spacing w:after="140" w:line="340" w:lineRule="auto"/>
        <w:jc w:val="both"/>
      </w:pPr>
      <w:r>
        <w:rPr>
          <w:color w:val="1A1A1A"/>
          <w:sz w:val="36"/>
          <w:szCs w:val="36"/>
        </w:rPr>
        <w:t xml:space="preserve">جعلَنا اللهُ وإياكم من أهلِ القرآنِ الذين هم أهلُه وخاصَّتُه، الذين يُقبِلون عليه بقلوبِهم فيَظهَرُ أثرُه على جوارِحِهم؛ إنه جوادٌ كريم.</w:t>
      </w:r>
    </w:p>
    <w:p>
      <w:pPr>
        <w:spacing w:after="140" w:line="340" w:lineRule="auto"/>
        <w:jc w:val="both"/>
      </w:pPr>
      <w:r>
        <w:rPr>
          <w:color w:val="1A1A1A"/>
          <w:sz w:val="36"/>
          <w:szCs w:val="36"/>
        </w:rPr>
        <w:t xml:space="preserve">اللهم اجعَلِ القرآنَ ربيعَ قلوبِنا، ونورَ صدورِنا، وجَلاءَ أحزانِنا، وذَهابَ هُمومِنا. 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وابنُ حبان والحاكمُ من حديث عبد الله بن مسعود ﵁،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عمر بن الخطاب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عبد الله بن عمرو ﵄، وحسَّنه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عبد الله بن مسعود ﵁، وصححه الألباني. (وقد جاء في التسجيلِ: «من قرأ ﴿الم﴾ فله بكلِّ حرفٍ حسنة»، والمحفوظُ في الحديثِ نفيُ ذلك وبيانُ أنّ الألفَ حرفٌ واللامَ حرفٌ والميمَ حرف.)</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خَبّابِ بنِ الأرَتِّ ﵁؛ أخرجه الحاكمُ وأبو نُعيمٍ في «الحلية».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أبي الجَوزاءِ أوسِ بنِ عبد الله ﵀؛ ذكرَه ابنُ أبي شيبةَ وغيرُه.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أُمامةَ الباهليِّ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أُسَيدِ بنِ حُضَيرٍ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موسى الأشعريِّ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موسى الأشعريِّ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ما وردَ في وصفِ بعضِ الصحابةِ بلزومِ القرآن؛ ومعناه ثابتٌ في نصوصِ الحثِّ على تعاهُدِ القرآن، كقولِه ﷺ: «تعاهَدوا القرآن؛ فوالذي نفسي بيدِه لَهو أشَدُّ تَفَلُّتًا من الإبلِ في عُقُلِها» ـ متفقٌ عليه.</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مالكٍ ﵀؛ ذكرَها ابنُ أبي حاتمٍ والقاضي عياضٌ في «ترتيب المدارك».</w:t>
      </w:r>
    </w:p>
  </w:footnote>
  <w:footnote w:id="1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شيخِ الإسلامِ ﵀؛ نقلَها ابنُ القيِّمِ وابنُ عبد الهادي بنحوِ هذا المعنى.</w:t>
      </w:r>
    </w:p>
  </w:footnote>
  <w:footnote w:id="1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قولِه ﷺ لعبدِ اللهِ بنِ عمرٍو ﵄: «اقرَأِ القرآنَ في كلِّ شهر»، وقولِه: «لم يَفقَهْ من قرأَه في أقلَّ من ثلاث» ـ أخرجهما أبو داود والترمذيُّ وصححهما الألباني؛ وقد قرَّرَ أهلُ العلمِ كراهةَ هَجرِه فوق أربعين ليلة.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