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الأسرةُ الصالحةُ ودورُها في تماسك المجتمع</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كيف نبني بيوتًا مطمئنّة؟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في هزيعٍ من الليل يَطرُقُ الجوّالُ ويعلو رنينُه: «طلّقتُ! والمحاكمُ مغلقة — فماذا أصنع؟»</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مشهدٌ يتكرّر ليلَ نهار؛ أسئلةٌ تُنبئك عن الجحيم المستعِر في بيوتنا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فبيوتُنا ما عادت مطمئنّة: غادرتها السكينةُ وجفَّ منها ماءُ الرحمة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فكيف نبني أُسَرًا صالحةً تكون عمادًا لمجتمعٍ قويٍّ لا يعرف الذلّ؟</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الأول: حُسنُ الاختيار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لَمّا تبدّلت المعايير فصارت تُقاس بالدرهم والدينار لا بالدين والخُلُق — </w:t>
      </w:r>
      <w:r>
        <w:rPr>
          <w:rFonts w:ascii="Traditional Arabic" w:cs="Traditional Arabic" w:eastAsia="Traditional Arabic" w:hAnsi="Traditional Arabic"/>
          <w:b/>
          <w:bCs/>
          <w:i w:val="false"/>
          <w:iCs w:val="false"/>
          <w:sz w:val="28"/>
          <w:szCs w:val="28"/>
          <w:rtl/>
        </w:rPr>
        <w:t xml:space="preserve">صارت بيوتُنا تُخرِج ما تُخرِج</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وصرنا في زمانٍ يُسأل فيه: كم راتبُها؟ وماذا يملك الخاطب؟ — أمّا دينُ الله المعطَّلُ في قلبه فلا أحدَ يسأل!</w:t>
      </w:r>
      <w:r>
        <w:rPr>
          <w:rFonts w:ascii="Traditional Arabic" w:cs="Traditional Arabic" w:eastAsia="Traditional Arabic" w:hAnsi="Traditional Arabic"/>
          <w:b w:val="false"/>
          <w:bCs w:val="false"/>
          <w:i w:val="false"/>
          <w:iCs w:val="false"/>
          <w:sz w:val="28"/>
          <w:szCs w:val="28"/>
          <w:rtl/>
        </w:rPr>
        <w:t xml:space="preserve"> ثم يأتي بعد وقوع المصيبة يسأل: طلّقتُ لَمّا وقعتُ على جوّالها ورأيتُ ما رأيت.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وأين نحن من قوله ﷺ: </w:t>
      </w:r>
      <w:r>
        <w:rPr>
          <w:rFonts w:ascii="Traditional Arabic" w:cs="Traditional Arabic" w:eastAsia="Traditional Arabic" w:hAnsi="Traditional Arabic"/>
          <w:b/>
          <w:bCs/>
          <w:i w:val="false"/>
          <w:iCs w:val="false"/>
          <w:sz w:val="28"/>
          <w:szCs w:val="28"/>
          <w:rtl/>
        </w:rPr>
        <w:t xml:space="preserve">«تُنكَحُ المرأةُ لأربع: لمالها، ولحسبها، ولجمالها، ولدينها — فاظفَرْ بذاتِ الدين تَرِبت يداك»</w:t>
      </w:r>
      <w:r>
        <w:rPr>
          <w:rFonts w:ascii="Traditional Arabic" w:cs="Traditional Arabic" w:eastAsia="Traditional Arabic" w:hAnsi="Traditional Arabic"/>
          <w:b w:val="false"/>
          <w:bCs w:val="false"/>
          <w:i w:val="false"/>
          <w:iCs w:val="false"/>
          <w:sz w:val="28"/>
          <w:szCs w:val="28"/>
          <w:rtl/>
        </w:rPr>
        <w:t xml:space="preserve">. متفقٌ عليه. وقال: </w:t>
      </w:r>
      <w:r>
        <w:rPr>
          <w:rFonts w:ascii="Traditional Arabic" w:cs="Traditional Arabic" w:eastAsia="Traditional Arabic" w:hAnsi="Traditional Arabic"/>
          <w:b/>
          <w:bCs/>
          <w:i w:val="false"/>
          <w:iCs w:val="false"/>
          <w:sz w:val="28"/>
          <w:szCs w:val="28"/>
          <w:rtl/>
        </w:rPr>
        <w:t xml:space="preserve">«إذا أتاكم مَن ترضَون دينَه وخُلُقَه فزوِّجوه؛ إلا تفعلوا تكن فتنةٌ في الأرض وفسادٌ عريض»</w:t>
      </w:r>
      <w:r>
        <w:rPr>
          <w:rStyle w:val="FootnoteReference"/>
        </w:rPr>
        <w:footnoteReference w:id="12"/>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ومعادلةٌ نافعة: </w:t>
      </w:r>
      <w:r>
        <w:rPr>
          <w:rFonts w:ascii="Traditional Arabic" w:cs="Traditional Arabic" w:eastAsia="Traditional Arabic" w:hAnsi="Traditional Arabic"/>
          <w:b/>
          <w:bCs/>
          <w:i w:val="false"/>
          <w:iCs w:val="false"/>
          <w:sz w:val="28"/>
          <w:szCs w:val="28"/>
          <w:rtl/>
        </w:rPr>
        <w:t xml:space="preserve">اجعلِ الدينَ رقمًا واحدًا، والجمالَ صفرًا بجانبه فتكون عشرة، والمالَ صفرًا آخر فتكون مئة، والحسبَ والنسبَ أصفارًا يزداد بها الرقم — ولكن تذكَّرْ: إذا ذهب الواحدُ لم يبقَ إلا الأصفار!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الثاني: تجاوزُ الأخطاء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فاعلموا </w:t>
      </w:r>
      <w:r>
        <w:rPr>
          <w:rFonts w:ascii="Traditional Arabic" w:cs="Traditional Arabic" w:eastAsia="Traditional Arabic" w:hAnsi="Traditional Arabic"/>
          <w:b/>
          <w:bCs/>
          <w:i w:val="false"/>
          <w:iCs w:val="false"/>
          <w:sz w:val="28"/>
          <w:szCs w:val="28"/>
          <w:rtl/>
        </w:rPr>
        <w:t xml:space="preserve">أنّنا بشرٌ ولسنا ملائكة؛ وأنّك إن أردتَ رجلًا لا يُخطئ أو امرأةً لا تُخطئ فابحث عن ذلك في عالم الملائكة!</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«استوصوا بالنساء خيرًا؛ فإنّ المرأةَ خُلِقت من ضِلَع، وإنّ أعوجَ شيءٍ في الضِّلَع أعلاه؛ فإن ذهبتَ تُقيمُه كسرتَه، وإن تركتَه لم يزل أعوج»</w:t>
      </w:r>
      <w:r>
        <w:rPr>
          <w:rFonts w:ascii="Traditional Arabic" w:cs="Traditional Arabic" w:eastAsia="Traditional Arabic" w:hAnsi="Traditional Arabic"/>
          <w:b w:val="false"/>
          <w:bCs w:val="false"/>
          <w:i w:val="false"/>
          <w:iCs w:val="false"/>
          <w:sz w:val="28"/>
          <w:szCs w:val="28"/>
          <w:rtl/>
        </w:rPr>
        <w:t xml:space="preserve">. متفقٌ عليه. وقال: </w:t>
      </w:r>
      <w:r>
        <w:rPr>
          <w:rFonts w:ascii="Traditional Arabic" w:cs="Traditional Arabic" w:eastAsia="Traditional Arabic" w:hAnsi="Traditional Arabic"/>
          <w:b/>
          <w:bCs/>
          <w:i w:val="false"/>
          <w:iCs w:val="false"/>
          <w:sz w:val="28"/>
          <w:szCs w:val="28"/>
          <w:rtl/>
        </w:rPr>
        <w:t xml:space="preserve">«لا يَفرَكْ مؤمنٌ مؤمنة؛ إن كرِه منها خُلُقًا رضِيَ منها آخر»</w:t>
      </w:r>
      <w:r>
        <w:rPr>
          <w:rFonts w:ascii="Traditional Arabic" w:cs="Traditional Arabic" w:eastAsia="Traditional Arabic" w:hAnsi="Traditional Arabic"/>
          <w:b w:val="false"/>
          <w:bCs w:val="false"/>
          <w:i w:val="false"/>
          <w:iCs w:val="false"/>
          <w:sz w:val="28"/>
          <w:szCs w:val="28"/>
          <w:rtl/>
        </w:rPr>
        <w:t xml:space="preserve">. رواه مسلم.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ومَشهدٌ واحدٌ من بيت النبوّة: </w:t>
      </w:r>
      <w:r>
        <w:rPr>
          <w:rFonts w:ascii="Traditional Arabic" w:cs="Traditional Arabic" w:eastAsia="Traditional Arabic" w:hAnsi="Traditional Arabic"/>
          <w:b/>
          <w:bCs/>
          <w:i w:val="false"/>
          <w:iCs w:val="false"/>
          <w:sz w:val="28"/>
          <w:szCs w:val="28"/>
          <w:rtl/>
        </w:rPr>
        <w:t xml:space="preserve">أرسلت إحدى أمّهات المؤمنين بقَصعةٍ فيها طعامٌ والنبيُّ ﷺ في بيت عائشة ﵂، فغارت عائشةُ فضربت القصعةَ فانكسرت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فماذا صنع ﷺ؟ أطلّقها؟ أسبَّها؟ كلّا — بل جمع الطعامَ وقال: «غارت أمُّكم»</w:t>
      </w:r>
      <w:r>
        <w:rPr>
          <w:rFonts w:ascii="Traditional Arabic" w:cs="Traditional Arabic" w:eastAsia="Traditional Arabic" w:hAnsi="Traditional Arabic"/>
          <w:b w:val="false"/>
          <w:bCs w:val="false"/>
          <w:i w:val="false"/>
          <w:iCs w:val="false"/>
          <w:sz w:val="28"/>
          <w:szCs w:val="28"/>
          <w:rtl/>
        </w:rPr>
        <w:t xml:space="preserve">، ثم أخذ قصعةً من بيت عائشةَ فدفعها إلى الرسول وقال: </w:t>
      </w:r>
      <w:r>
        <w:rPr>
          <w:rFonts w:ascii="Traditional Arabic" w:cs="Traditional Arabic" w:eastAsia="Traditional Arabic" w:hAnsi="Traditional Arabic"/>
          <w:b/>
          <w:bCs/>
          <w:i w:val="false"/>
          <w:iCs w:val="false"/>
          <w:sz w:val="28"/>
          <w:szCs w:val="28"/>
          <w:rtl/>
        </w:rPr>
        <w:t xml:space="preserve">«طعامٌ بطعام، وإناءٌ بإناء»</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فلا تُدقِّقْ ولا تقِفْ عند كلِّ زلّة — وأضمنُ لك بيتًا مطمئنًّا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الثالث: إظهارُ المحبّة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فليس عيبًا أن تُظهِر المحبّةَ لزوجتك. </w:t>
      </w:r>
      <w:r>
        <w:rPr>
          <w:rFonts w:ascii="Traditional Arabic" w:cs="Traditional Arabic" w:eastAsia="Traditional Arabic" w:hAnsi="Traditional Arabic"/>
          <w:b/>
          <w:bCs/>
          <w:i w:val="false"/>
          <w:iCs w:val="false"/>
          <w:sz w:val="28"/>
          <w:szCs w:val="28"/>
          <w:rtl/>
        </w:rPr>
        <w:t xml:space="preserve">وإنّنا نعيش مرحلةَ طلاقٍ عاطفيّ؛ جُلُّنا مطلِّقٌ عاطفيًّا: لا يجري على لسانه كلامٌ ودود إلا في بدايات زواجه!</w:t>
      </w:r>
      <w:r>
        <w:rPr>
          <w:rFonts w:ascii="Traditional Arabic" w:cs="Traditional Arabic" w:eastAsia="Traditional Arabic" w:hAnsi="Traditional Arabic"/>
          <w:b w:val="false"/>
          <w:bCs w:val="false"/>
          <w:i w:val="false"/>
          <w:iCs w:val="false"/>
          <w:sz w:val="28"/>
          <w:szCs w:val="28"/>
          <w:rtl/>
        </w:rPr>
        <w:t xml:space="preserve"> ثم يسأل: لِمَ بحثت الزوجةُ عن حنانٍ في غير بيتها؟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ونبيُّكم ﷺ يقول عن خديجةَ ﵂: </w:t>
      </w:r>
      <w:r>
        <w:rPr>
          <w:rFonts w:ascii="Traditional Arabic" w:cs="Traditional Arabic" w:eastAsia="Traditional Arabic" w:hAnsi="Traditional Arabic"/>
          <w:b/>
          <w:bCs/>
          <w:i w:val="false"/>
          <w:iCs w:val="false"/>
          <w:sz w:val="28"/>
          <w:szCs w:val="28"/>
          <w:rtl/>
        </w:rPr>
        <w:t xml:space="preserve">«إنّي قد رُزِقتُ حُبَّها»</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وسُئل: أيُّ الناس أحبُّ إليك؟ قال: «عائشة»</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وكان الصحابةُ يتحيَّنون بهداياهم يومَ عائشةَ — لأنّ حبَّه لها كان ظاهرًا على لسانه ﷺ</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الرابع: أن تجعل لأهلك مساحةً من وقتك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فإنّنا اليوم </w:t>
      </w:r>
      <w:r>
        <w:rPr>
          <w:rFonts w:ascii="Traditional Arabic" w:cs="Traditional Arabic" w:eastAsia="Traditional Arabic" w:hAnsi="Traditional Arabic"/>
          <w:b/>
          <w:bCs/>
          <w:i w:val="false"/>
          <w:iCs w:val="false"/>
          <w:sz w:val="28"/>
          <w:szCs w:val="28"/>
          <w:rtl/>
        </w:rPr>
        <w:t xml:space="preserve">ندخل بيوتنا بأبداننا وأرواحُنا خارجها!</w:t>
      </w:r>
      <w:r>
        <w:rPr>
          <w:rFonts w:ascii="Traditional Arabic" w:cs="Traditional Arabic" w:eastAsia="Traditional Arabic" w:hAnsi="Traditional Arabic"/>
          <w:b w:val="false"/>
          <w:bCs w:val="false"/>
          <w:i w:val="false"/>
          <w:iCs w:val="false"/>
          <w:sz w:val="28"/>
          <w:szCs w:val="28"/>
          <w:rtl/>
        </w:rPr>
        <w:t xml:space="preserve"> وكان ﷺ يمشي مع عائشةَ ﵂ ويتحدّث إليها، </w:t>
      </w:r>
      <w:r>
        <w:rPr>
          <w:rFonts w:ascii="Traditional Arabic" w:cs="Traditional Arabic" w:eastAsia="Traditional Arabic" w:hAnsi="Traditional Arabic"/>
          <w:b/>
          <w:bCs/>
          <w:i w:val="false"/>
          <w:iCs w:val="false"/>
          <w:sz w:val="28"/>
          <w:szCs w:val="28"/>
          <w:rtl/>
        </w:rPr>
        <w:t xml:space="preserve">وكان بعد العصر يمرُّ على نسائه كلِّهنّ فيتحدّث إليهنّ</w:t>
      </w:r>
      <w:r>
        <w:rPr>
          <w:rFonts w:ascii="Traditional Arabic" w:cs="Traditional Arabic" w:eastAsia="Traditional Arabic" w:hAnsi="Traditional Arabic"/>
          <w:b w:val="false"/>
          <w:bCs w:val="false"/>
          <w:i w:val="false"/>
          <w:iCs w:val="false"/>
          <w:sz w:val="28"/>
          <w:szCs w:val="28"/>
          <w:rtl/>
        </w:rPr>
        <w:t xml:space="preserve">. متفقٌ عليه.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فكيف بمن </w:t>
      </w:r>
      <w:r>
        <w:rPr>
          <w:rFonts w:ascii="Traditional Arabic" w:cs="Traditional Arabic" w:eastAsia="Traditional Arabic" w:hAnsi="Traditional Arabic"/>
          <w:b/>
          <w:bCs/>
          <w:i w:val="false"/>
          <w:iCs w:val="false"/>
          <w:sz w:val="28"/>
          <w:szCs w:val="28"/>
          <w:rtl/>
        </w:rPr>
        <w:t xml:space="preserve">عدّد مع زوجته جوّالَه: ينام معه ويصحو معه!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عشنا في زمانٍ الزوجةُ مع جوّالها، والولدُ مع جوّاله، والزوجُ مع جوّاله — فمتى نجلس بعضُنا إلى بعض؟</w:t>
      </w:r>
      <w:r>
        <w:rPr>
          <w:rFonts w:ascii="Traditional Arabic" w:cs="Traditional Arabic" w:eastAsia="Traditional Arabic" w:hAnsi="Traditional Arabic"/>
          <w:b w:val="false"/>
          <w:bCs w:val="false"/>
          <w:i w:val="false"/>
          <w:iCs w:val="false"/>
          <w:sz w:val="28"/>
          <w:szCs w:val="28"/>
          <w:rtl/>
        </w:rPr>
        <w:t xml:space="preserve"> وقد قالت زوجةُ الزهريِّ ﵀ معاتبةً: </w:t>
      </w:r>
      <w:r>
        <w:rPr>
          <w:rFonts w:ascii="Traditional Arabic" w:cs="Traditional Arabic" w:eastAsia="Traditional Arabic" w:hAnsi="Traditional Arabic"/>
          <w:b/>
          <w:bCs/>
          <w:i w:val="false"/>
          <w:iCs w:val="false"/>
          <w:sz w:val="28"/>
          <w:szCs w:val="28"/>
          <w:rtl/>
        </w:rPr>
        <w:t xml:space="preserve">واللهِ إنّ هذه الكتبَ أشدُّ عليَّ من ثلاث ضرائر!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فكيف بأجهزتنا؟!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الخامس: اجتنابُ المُخبِّبين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والمُخبِّبُ هو </w:t>
      </w:r>
      <w:r>
        <w:rPr>
          <w:rFonts w:ascii="Traditional Arabic" w:cs="Traditional Arabic" w:eastAsia="Traditional Arabic" w:hAnsi="Traditional Arabic"/>
          <w:b/>
          <w:bCs/>
          <w:i w:val="false"/>
          <w:iCs w:val="false"/>
          <w:sz w:val="28"/>
          <w:szCs w:val="28"/>
          <w:rtl/>
        </w:rPr>
        <w:t xml:space="preserve">الذي يُفسِد الزوجةَ على زوجها والزوجَ على زوجته</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«ليس منّا مَن خَبَّبَ امرأةً على زوجها، أو عبدًا على سيّده»</w:t>
      </w:r>
      <w:r>
        <w:rPr>
          <w:rStyle w:val="FootnoteReference"/>
        </w:rPr>
        <w:footnoteReference w:id="13"/>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وليس من البِرِّ أن يعلم أبوك وأمُّك — أو أهلُ الزوجة — بكلِّ ما يجري في البيت</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جاء رجلٌ إلى الإمام أحمدَ فقال: </w:t>
      </w:r>
      <w:r>
        <w:rPr>
          <w:rFonts w:ascii="Traditional Arabic" w:cs="Traditional Arabic" w:eastAsia="Traditional Arabic" w:hAnsi="Traditional Arabic"/>
          <w:b/>
          <w:bCs/>
          <w:i w:val="false"/>
          <w:iCs w:val="false"/>
          <w:sz w:val="28"/>
          <w:szCs w:val="28"/>
          <w:rtl/>
        </w:rPr>
        <w:t xml:space="preserve">إنّ أبي يأمرني أن أُطلِّق زوجتي. فقال: لا تُطلِّقها. فقال: أليس عمرُ أمر ابنَه أن يُطلِّق؟ قال: «فهل أبوك عمر؟»</w:t>
      </w:r>
      <w:r>
        <w:rPr>
          <w:rFonts w:ascii="Traditional Arabic" w:cs="Traditional Arabic" w:eastAsia="Traditional Arabic" w:hAnsi="Traditional Arabic"/>
          <w:b w:val="false"/>
          <w:bCs w:val="false"/>
          <w:i w:val="false"/>
          <w:iCs w:val="false"/>
          <w:sz w:val="28"/>
          <w:szCs w:val="28"/>
          <w:rtl/>
        </w:rPr>
        <w:t xml:space="preserve"> وقال شيخُ الإسلام: </w:t>
      </w:r>
      <w:r>
        <w:rPr>
          <w:rFonts w:ascii="Traditional Arabic" w:cs="Traditional Arabic" w:eastAsia="Traditional Arabic" w:hAnsi="Traditional Arabic"/>
          <w:b/>
          <w:bCs/>
          <w:i w:val="false"/>
          <w:iCs w:val="false"/>
          <w:sz w:val="28"/>
          <w:szCs w:val="28"/>
          <w:rtl/>
        </w:rPr>
        <w:t xml:space="preserve">ليس من البِرِّ طاعةُ الأمِّ في تطليق الزوجة</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السادس: تركُ الحلف بالطلاق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فإنّنا </w:t>
      </w:r>
      <w:r>
        <w:rPr>
          <w:rFonts w:ascii="Traditional Arabic" w:cs="Traditional Arabic" w:eastAsia="Traditional Arabic" w:hAnsi="Traditional Arabic"/>
          <w:b/>
          <w:bCs/>
          <w:i w:val="false"/>
          <w:iCs w:val="false"/>
          <w:sz w:val="28"/>
          <w:szCs w:val="28"/>
          <w:rtl/>
        </w:rPr>
        <w:t xml:space="preserve">نُطلِّق عشرات المرّات ونُحرِّم الزوجات حين نحلف بالحرام والطلاق</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فكيف تطمئنُّ بيوتٌ اجتمع أهلُها على مثل هذا؟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فإيّاك والحلفَ بالطلاق، والأشدَّ منه: لفظَ التحريم</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يجعل بيوتنا مطمئنّة، تُخرِج للأمّة أئمّةً وعلماءَ ومجاهدين.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ترجمته عند البيهقي في «مناقب الشافعي» والذهبي في «السير». وأمّا العددُ الذي يُتداول فلم أقف على إسنادٍ يثبته، فيُذكر مطلقًا.</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(١٥٣١) والنسائي وابن ماجه من حديث أوس بن أوس ﵁، وصحّحه الألباني في «صحيح أبي داود» (١٣٦٩) و«صحيح الجامع» (١٢٠٩).</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(١/٢١٤) والنسائي في «عمل اليوم والليلة» وابن ماجه من حديث ابن عباس ﵄، وصحّحه الألباني في «السلسلة الصحيحة» (١٣٩) و«صحيح الجامع» (٧٩٠).</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أخبارُ تأدُّب السلف مع الحديث في «الجامع لأخلاق الراوي وآداب السامع» للخطيب البغدادي، و«سير أعلام النبلاء» للذهبي. وهي من أخبار التراجم لا من المرفوع.</w:t>
      </w:r>
    </w:p>
  </w:footnote>
  <w:footnote w:id="5">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(٣١٣١) وابن حبان من حديث أنسٍ ﵁ في قصّة الإسراء. وقد ضعّف الألباني هذه الزيادةَ بخصوصها، وصحّح أصلَ حديث الإسراء؛ فتُذكر على أنّها ممّا ورد في السِّيَر لا ممّا يُحتَجُّ به.</w:t>
      </w:r>
    </w:p>
  </w:footnote>
  <w:footnote w:id="6">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يُذكر في بعض كتب السِّيَر والتفسير عند قصّة الإسراء، ولم أقف على إسنادٍ صحيحٍ يثبت به، ولا هو من حديث أبي سفيان الذي في «الصحيحين» في قصّة هرقل. فيُذكر على أنّه ممّا نُقل في السِّيَر لا ممّا يُحتَجُّ به، والأصلُ في الباب سورةُ الإسراء وأحاديثُ الصحيحين.</w:t>
      </w:r>
    </w:p>
  </w:footnote>
  <w:footnote w:id="7">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(٤٨٧٨) وأحمد من حديث أنسٍ ﵁، وصحّحه الألباني في «صحيح أبي داود» (٤٠٨٤) و«صحيح الجامع» (٥٢٤٣).</w:t>
      </w:r>
    </w:p>
  </w:footnote>
  <w:footnote w:id="8">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(٤٨٧٨) وأحمد من حديث أنسٍ ﵁، وصحّحه الألباني في «صحيح أبي داود» (٤٠٨٤) و«صحيح الجامع» (٥٢٤٣).</w:t>
      </w:r>
    </w:p>
  </w:footnote>
  <w:footnote w:id="9">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ذكره الحاكم وابن إسحاق وغيرهما في قصّة الإسراء، وأصلُ تصديق أبي بكرٍ ﵁ مشهورٌ في كتب السِّيَر. ولم أقف على تصحيحه بهذا اللفظ في كتب الشيخ الألباني الحاضرة في المكتبة، فيُذكر مع التنبيه.</w:t>
      </w:r>
    </w:p>
  </w:footnote>
  <w:footnote w:id="10">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لطائف أهل السِّيَر في «الروض الأُنُف» للسُّهيليّ، وهو من باب الاستنباط والتأمّل لا من باب النقل المرفوع.</w:t>
      </w:r>
    </w:p>
  </w:footnote>
  <w:footnote w:id="1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مشهور عن أنسٍ ﵁ في وقعة تُسْتَر، ذكره ابن جرير الطبري في «تاريخه» وابن كثير في «البداية والنهاية». وهو من أخبار الفتوح لا من المرفوع.</w:t>
      </w:r>
    </w:p>
  </w:footnote>
  <w:footnote w:id="12">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(١٠٨٤) وابن ماجه من حديث أبي حاتم المُزَنيّ ﵁، وحسّنه الألباني في «صحيح الجامع» (٢٧٠) و«الإرواء» (١٨٦٨).</w:t>
      </w:r>
    </w:p>
  </w:footnote>
  <w:footnote w:id="13">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(٢١٧٥) وأحمد من حديث أبي هريرة ﵁، وصحّحه الألباني في «صحيح أبي داود» (١٨٨٩) و«صحيح الجامع» (٥٤٣٦).</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الأسرةُ الصالحةُ ودورُها في تماسك المجتمع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2026-08-01T18:11:08.789Z</dcterms:created>
  <dcterms:modified xsi:type="dcterms:W3CDTF">2026-08-01T18:11:08.789Z</dcterms:modified>
</cp:coreProperties>
</file>

<file path=docProps/custom.xml><?xml version="1.0" encoding="utf-8"?>
<Properties xmlns="http://schemas.openxmlformats.org/officeDocument/2006/custom-properties" xmlns:vt="http://schemas.openxmlformats.org/officeDocument/2006/docPropsVTypes"/>
</file>