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استقبالُ رمضان</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لماذا نستقبله؟ وبماذا نستقبله؟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أُخبِر بموعد زيارة ضيفٍ عزيز، ولكنّه ظلّ مشغولًا فلم يتهيّأ لحُسن استقباله</w:t>
      </w:r>
      <w:r>
        <w:rPr>
          <w:rFonts w:ascii="Traditional Arabic" w:cs="Traditional Arabic" w:eastAsia="Traditional Arabic" w:hAnsi="Traditional Arabic"/>
          <w:b w:val="false"/>
          <w:bCs w:val="false"/>
          <w:i w:val="false"/>
          <w:iCs w:val="false"/>
          <w:sz w:val="28"/>
          <w:szCs w:val="28"/>
          <w:rtl/>
        </w:rPr>
        <w:t xml:space="preserve">؛ فجاء الضيفُ ونزل ولم يلقَ تلك الحفاوة، ثم غادر — </w:t>
      </w:r>
      <w:r>
        <w:rPr>
          <w:rFonts w:ascii="Traditional Arabic" w:cs="Traditional Arabic" w:eastAsia="Traditional Arabic" w:hAnsi="Traditional Arabic"/>
          <w:b/>
          <w:bCs/>
          <w:i w:val="false"/>
          <w:iCs w:val="false"/>
          <w:sz w:val="28"/>
          <w:szCs w:val="28"/>
          <w:rtl/>
        </w:rPr>
        <w:t xml:space="preserve">وصاحبُنا يعضُّ أصابعَ الندم</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w:t>
      </w:r>
      <w:r>
        <w:rPr>
          <w:rFonts w:ascii="Traditional Arabic" w:cs="Traditional Arabic" w:eastAsia="Traditional Arabic" w:hAnsi="Traditional Arabic"/>
          <w:b/>
          <w:bCs/>
          <w:i w:val="false"/>
          <w:iCs w:val="false"/>
          <w:sz w:val="28"/>
          <w:szCs w:val="28"/>
          <w:rtl/>
        </w:rPr>
        <w:t xml:space="preserve">أدرك الكفّارُ والعصاةُ منزلةَ هذا الضيف فتهيّأوا لاستقباله!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جنّدوا جنودَهم ومكثوا أحدَ عشر شهرًا يُنتجون المسلسلات والأفلام وينشرون المحدثات — لصدِّ الناس عن حُسن استقباله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لأنّهم يعلمون أنّ المُقبِلَ فيه لا يُرَدّ، وأنّ الطارِقَ بابَه لا يُصَدّ</w:t>
      </w:r>
      <w:r>
        <w:rPr>
          <w:rFonts w:ascii="Traditional Arabic" w:cs="Traditional Arabic" w:eastAsia="Traditional Arabic" w:hAnsi="Traditional Arabic"/>
          <w:b w:val="false"/>
          <w:bCs w:val="false"/>
          <w:i w:val="false"/>
          <w:iCs w:val="false"/>
          <w:sz w:val="28"/>
          <w:szCs w:val="28"/>
          <w:rtl/>
        </w:rPr>
        <w:t xml:space="preserve">. فخطبتي على محورين.</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لماذا نستقبل رمضان؟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لأنّنا مقصِّرون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كنتَ تنظر إلى صيامك الماضي وقيامك نظرةَ إعجابٍ ومَنٍّ — </w:t>
      </w:r>
      <w:r>
        <w:rPr>
          <w:rFonts w:ascii="Traditional Arabic" w:cs="Traditional Arabic" w:eastAsia="Traditional Arabic" w:hAnsi="Traditional Arabic"/>
          <w:b/>
          <w:bCs/>
          <w:i w:val="false"/>
          <w:iCs w:val="false"/>
          <w:sz w:val="28"/>
          <w:szCs w:val="28"/>
          <w:rtl/>
        </w:rPr>
        <w:t xml:space="preserve">فوربّي إنّك مخطئ</w:t>
      </w:r>
      <w:r>
        <w:rPr>
          <w:rFonts w:ascii="Traditional Arabic" w:cs="Traditional Arabic" w:eastAsia="Traditional Arabic" w:hAnsi="Traditional Arabic"/>
          <w:b w:val="false"/>
          <w:bCs w:val="false"/>
          <w:i w:val="false"/>
          <w:iCs w:val="false"/>
          <w:sz w:val="28"/>
          <w:szCs w:val="28"/>
          <w:rtl/>
        </w:rPr>
        <w:t xml:space="preserve">. قال ابنُ القيّم ﵀: </w:t>
      </w:r>
      <w:r>
        <w:rPr>
          <w:rFonts w:ascii="Traditional Arabic" w:cs="Traditional Arabic" w:eastAsia="Traditional Arabic" w:hAnsi="Traditional Arabic"/>
          <w:b/>
          <w:bCs/>
          <w:i w:val="false"/>
          <w:iCs w:val="false"/>
          <w:sz w:val="28"/>
          <w:szCs w:val="28"/>
          <w:rtl/>
        </w:rPr>
        <w:t xml:space="preserve">العبدُ المؤمنُ لا يرى نفسَه إلا مقصِّرًا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ونحن نغترُّ باعتكافٍ، وبخَتمةٍ ما خشع فيها القلب، وبصدقةٍ كنّا فيها شحيحين!</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وقال ابنُ أبي مُلَيكة: </w:t>
      </w:r>
      <w:r>
        <w:rPr>
          <w:rFonts w:ascii="Traditional Arabic" w:cs="Traditional Arabic" w:eastAsia="Traditional Arabic" w:hAnsi="Traditional Arabic"/>
          <w:b/>
          <w:bCs/>
          <w:i w:val="false"/>
          <w:iCs w:val="false"/>
          <w:sz w:val="28"/>
          <w:szCs w:val="28"/>
          <w:rtl/>
        </w:rPr>
        <w:t xml:space="preserve">أدركتُ ثلاثين من أصحاب النبيّ ﷺ كلُّهم يخاف النفاقَ على نفسه</w:t>
      </w:r>
      <w:r>
        <w:rPr>
          <w:rFonts w:ascii="Traditional Arabic" w:cs="Traditional Arabic" w:eastAsia="Traditional Arabic" w:hAnsi="Traditional Arabic"/>
          <w:b w:val="false"/>
          <w:bCs w:val="false"/>
          <w:i w:val="false"/>
          <w:iCs w:val="false"/>
          <w:sz w:val="28"/>
          <w:szCs w:val="28"/>
          <w:rtl/>
        </w:rPr>
        <w:t xml:space="preserve">. رواه البخاري تعليقًا. </w:t>
      </w:r>
      <w:r>
        <w:rPr>
          <w:rFonts w:ascii="Traditional Arabic" w:cs="Traditional Arabic" w:eastAsia="Traditional Arabic" w:hAnsi="Traditional Arabic"/>
          <w:b/>
          <w:bCs/>
          <w:i w:val="false"/>
          <w:iCs w:val="false"/>
          <w:sz w:val="28"/>
          <w:szCs w:val="28"/>
          <w:rtl/>
        </w:rPr>
        <w:t xml:space="preserve">أصحابُ رسول الله ﷺ لا يأمنُ الواحدُ منهم النفاقَ — وأنا وأنت نعتقد جازمَين أنّنا نُزاحمهم بالمناكب!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وكان سعيدُ بنُ المسيّبِ ﵀ </w:t>
      </w:r>
      <w:r>
        <w:rPr>
          <w:rFonts w:ascii="Traditional Arabic" w:cs="Traditional Arabic" w:eastAsia="Traditional Arabic" w:hAnsi="Traditional Arabic"/>
          <w:b/>
          <w:bCs/>
          <w:i w:val="false"/>
          <w:iCs w:val="false"/>
          <w:sz w:val="28"/>
          <w:szCs w:val="28"/>
          <w:rtl/>
        </w:rPr>
        <w:t xml:space="preserve">يُخاطِب نفسَه: «يا مأوى كلِّ شرّ، قومي إلى طاعة ربّك!»</w:t>
      </w:r>
      <w:r>
        <w:rPr>
          <w:rFonts w:ascii="Traditional Arabic" w:cs="Traditional Arabic" w:eastAsia="Traditional Arabic" w:hAnsi="Traditional Arabic"/>
          <w:b w:val="false"/>
          <w:bCs w:val="false"/>
          <w:i w:val="false"/>
          <w:iCs w:val="false"/>
          <w:sz w:val="28"/>
          <w:szCs w:val="28"/>
          <w:rtl/>
        </w:rPr>
        <w:t xml:space="preserve">. وكان سفيانُ الثوريُّ ﵀ يبكي ويقول: </w:t>
      </w:r>
      <w:r>
        <w:rPr>
          <w:rFonts w:ascii="Traditional Arabic" w:cs="Traditional Arabic" w:eastAsia="Traditional Arabic" w:hAnsi="Traditional Arabic"/>
          <w:b/>
          <w:bCs/>
          <w:i w:val="false"/>
          <w:iCs w:val="false"/>
          <w:sz w:val="28"/>
          <w:szCs w:val="28"/>
          <w:rtl/>
        </w:rPr>
        <w:t xml:space="preserve">أخافُ أن أُسلَبَ الإيمانَ عند الموت</w:t>
      </w:r>
      <w:r>
        <w:rPr>
          <w:rFonts w:ascii="Traditional Arabic" w:cs="Traditional Arabic" w:eastAsia="Traditional Arabic" w:hAnsi="Traditional Arabic"/>
          <w:b w:val="false"/>
          <w:bCs w:val="false"/>
          <w:i w:val="false"/>
          <w:iCs w:val="false"/>
          <w:sz w:val="28"/>
          <w:szCs w:val="28"/>
          <w:rtl/>
        </w:rPr>
        <w:t xml:space="preserve">. وقال شيخُ الإسلام ابنُ تيميةَ ﵀ إذا أُثنيَ عليه: </w:t>
      </w:r>
      <w:r>
        <w:rPr>
          <w:rFonts w:ascii="Traditional Arabic" w:cs="Traditional Arabic" w:eastAsia="Traditional Arabic" w:hAnsi="Traditional Arabic"/>
          <w:b/>
          <w:bCs/>
          <w:i w:val="false"/>
          <w:iCs w:val="false"/>
          <w:sz w:val="28"/>
          <w:szCs w:val="28"/>
          <w:rtl/>
        </w:rPr>
        <w:t xml:space="preserve">أنا إلى الآن أُجدِّد إسلامي</w:t>
      </w:r>
      <w:r>
        <w:rPr>
          <w:rStyle w:val="FootnoteReference"/>
        </w:rPr>
        <w:footnoteReference w:id="2"/>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لأنّنا على وَجَلٍ من عدم القبول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قالت عائشةُ ﵂: سألتُ رسولَ الله ﷺ عن قوله: </w:t>
      </w:r>
      <w:r>
        <w:rPr>
          <w:rFonts w:ascii="Traditional Arabic" w:cs="Traditional Arabic" w:eastAsia="Traditional Arabic" w:hAnsi="Traditional Arabic"/>
          <w:b/>
          <w:bCs/>
          <w:i w:val="false"/>
          <w:iCs w:val="false"/>
          <w:sz w:val="28"/>
          <w:szCs w:val="28"/>
          <w:rtl/>
        </w:rPr>
        <w:t xml:space="preserve">﴿وَالَّذِينَ يُؤْتُونَ مَا آتَوا وَّقُلُوبُهُمْ وَجِلَةٌ﴾</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أهُمُ الذين يسرقون ويزنون ويشربون الخمر؟ قال: «لا يا بنتَ الصدّيق، ولكنّهم الذين يصومون ويُصلّون ويتصدّقون وهم يخافون ألّا يُتقبَّل منهم»</w:t>
      </w:r>
      <w:r>
        <w:rPr>
          <w:rStyle w:val="FootnoteReference"/>
        </w:rPr>
        <w:footnoteReference w:id="3"/>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فمَن منكم يجزم بأنّ رمضانَ الماضي قد قُبِل؟</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لأنّه قد يكون آخرَ رمضانٍ لك</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فقد قال ﷺ لرجل: </w:t>
      </w:r>
      <w:r>
        <w:rPr>
          <w:rFonts w:ascii="Traditional Arabic" w:cs="Traditional Arabic" w:eastAsia="Traditional Arabic" w:hAnsi="Traditional Arabic"/>
          <w:b/>
          <w:bCs/>
          <w:i w:val="false"/>
          <w:iCs w:val="false"/>
          <w:sz w:val="28"/>
          <w:szCs w:val="28"/>
          <w:rtl/>
        </w:rPr>
        <w:t xml:space="preserve">«إذا قمتَ في صلاتك فصلِّ صلاةَ مُودِّع»</w:t>
      </w:r>
      <w:r>
        <w:rPr>
          <w:rStyle w:val="FootnoteReference"/>
        </w:rPr>
        <w:footnoteReference w:id="4"/>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فاستقبِلْ رمضانَ على أنّه آخرُ رمضانٍ لك — وما يُدريك أنّك تُدركه بعد التقاعد وبعد أن تتفرّغ؟!</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بماذا نستقبله؟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تحوّل العالمُ الإسلاميُّ على سَنَن غيره، </w:t>
      </w:r>
      <w:r>
        <w:rPr>
          <w:rFonts w:ascii="Traditional Arabic" w:cs="Traditional Arabic" w:eastAsia="Traditional Arabic" w:hAnsi="Traditional Arabic"/>
          <w:b/>
          <w:bCs/>
          <w:i w:val="false"/>
          <w:iCs w:val="false"/>
          <w:sz w:val="28"/>
          <w:szCs w:val="28"/>
          <w:rtl/>
        </w:rPr>
        <w:t xml:space="preserve">فصار استقبالُ رمضان رموزًا تُعلَّق وأهِلّةً تُنار — أمّا القلوبُ والمصاحفُ والمساجدُ فلا نُحسِنُ تزيينَها!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فإيّاك أن تعتقد أنّ تعليق الهلال حُسنُ استقبالٍ لرمضان</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بالإقبال على كتاب 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w:t>
      </w:r>
      <w:r>
        <w:rPr>
          <w:rFonts w:ascii="Traditional Arabic" w:cs="Traditional Arabic" w:eastAsia="Traditional Arabic" w:hAnsi="Traditional Arabic"/>
          <w:b/>
          <w:bCs/>
          <w:i w:val="false"/>
          <w:iCs w:val="false"/>
          <w:sz w:val="28"/>
          <w:szCs w:val="28"/>
          <w:rtl/>
        </w:rPr>
        <w:t xml:space="preserve">أعظمَ عملٍ بعد الصيام أن تُقبِل بكلِّك على كلام ربّك؛ فهذا الشهر: ﴿شَهْرُ رَمَضَانَ الَّذِي أُنزِلَ فِيهِ الْقُرْآنُ﴾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فمن الآن رتِّبْ برنامجَ الخَتَمات، واحسِبْ حسابَك، وتأمّلْ في أوقات فراغك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وإيّاك أن يدخل عليك رمضانُ فجأةً وأنت لا تدري كم خَتمةً ستختم — فستقرأ البقرةَ ونصفَ آلِ عمرانَ ثم تُغلِق مصحفَك إلى العام القادم!</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بصلاة القيام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فهي من أنفس الطاعات، </w:t>
      </w:r>
      <w:r>
        <w:rPr>
          <w:rFonts w:ascii="Traditional Arabic" w:cs="Traditional Arabic" w:eastAsia="Traditional Arabic" w:hAnsi="Traditional Arabic"/>
          <w:b/>
          <w:bCs/>
          <w:i w:val="false"/>
          <w:iCs w:val="false"/>
          <w:sz w:val="28"/>
          <w:szCs w:val="28"/>
          <w:rtl/>
        </w:rPr>
        <w:t xml:space="preserve">ولا يُشرَع الاجتماعُ لها إلا في رمضان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فأسألك من الآن: أين ستُصلّي القيام؟ عند أسرع إمامٍ وأقصرِ صلاة؟</w:t>
      </w:r>
      <w:r>
        <w:rPr>
          <w:rFonts w:ascii="Traditional Arabic" w:cs="Traditional Arabic" w:eastAsia="Traditional Arabic" w:hAnsi="Traditional Arabic"/>
          <w:b w:val="false"/>
          <w:bCs w:val="false"/>
          <w:i w:val="false"/>
          <w:iCs w:val="false"/>
          <w:sz w:val="28"/>
          <w:szCs w:val="28"/>
          <w:rtl/>
        </w:rPr>
        <w:t xml:space="preserve"> أم أنّك تعتقد جازمًا </w:t>
      </w:r>
      <w:r>
        <w:rPr>
          <w:rFonts w:ascii="Traditional Arabic" w:cs="Traditional Arabic" w:eastAsia="Traditional Arabic" w:hAnsi="Traditional Arabic"/>
          <w:b/>
          <w:bCs/>
          <w:i w:val="false"/>
          <w:iCs w:val="false"/>
          <w:sz w:val="28"/>
          <w:szCs w:val="28"/>
          <w:rtl/>
        </w:rPr>
        <w:t xml:space="preserve">أنّ أفضل الصلاة طولُ القنوت — كما قال ﷺ</w:t>
      </w:r>
      <w:r>
        <w:rPr>
          <w:rFonts w:ascii="Traditional Arabic" w:cs="Traditional Arabic" w:eastAsia="Traditional Arabic" w:hAnsi="Traditional Arabic"/>
          <w:b w:val="false"/>
          <w:bCs w:val="false"/>
          <w:i w:val="false"/>
          <w:iCs w:val="false"/>
          <w:sz w:val="28"/>
          <w:szCs w:val="28"/>
          <w:rtl/>
        </w:rPr>
        <w:t xml:space="preserve"> (رواه مسلم) — </w:t>
      </w:r>
      <w:r>
        <w:rPr>
          <w:rFonts w:ascii="Traditional Arabic" w:cs="Traditional Arabic" w:eastAsia="Traditional Arabic" w:hAnsi="Traditional Arabic"/>
          <w:b/>
          <w:bCs/>
          <w:i w:val="false"/>
          <w:iCs w:val="false"/>
          <w:sz w:val="28"/>
          <w:szCs w:val="28"/>
          <w:rtl/>
        </w:rPr>
        <w:t xml:space="preserve">وأنّ صلاةَ الأوّابين هي التي تجري فيها دموعُهم؟</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ورمضانُ </w:t>
      </w:r>
      <w:r>
        <w:rPr>
          <w:rFonts w:ascii="Traditional Arabic" w:cs="Traditional Arabic" w:eastAsia="Traditional Arabic" w:hAnsi="Traditional Arabic"/>
          <w:b/>
          <w:bCs/>
          <w:i w:val="false"/>
          <w:iCs w:val="false"/>
          <w:sz w:val="28"/>
          <w:szCs w:val="28"/>
          <w:rtl/>
        </w:rPr>
        <w:t xml:space="preserve">ليس شهرَ سَمَرٍ ولا سهرات؛ وإنّما صيامٌ بالنهار، وإخباتٌ وقيامٌ بالليل</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فالسَّمَرُ متاحٌ في كلّ عام — أمّا القيامُ على هذه الصورة مجتمعين خلف إمامٍ واحد فلا يكون إلا في رمضان. فلِمَ العجلة؟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وكان عليٌّ ﵁ يُطيل الصيامَ والقيام، فقيل له: يا أمير المؤمنين، صيامٌ بالنهار وسهرٌ بالليل! فقال: </w:t>
      </w:r>
      <w:r>
        <w:rPr>
          <w:rFonts w:ascii="Traditional Arabic" w:cs="Traditional Arabic" w:eastAsia="Traditional Arabic" w:hAnsi="Traditional Arabic"/>
          <w:b/>
          <w:bCs/>
          <w:i w:val="false"/>
          <w:iCs w:val="false"/>
          <w:sz w:val="28"/>
          <w:szCs w:val="28"/>
          <w:rtl/>
        </w:rPr>
        <w:t xml:space="preserve">إنّ السفرَ طويلٌ ولا يُقطَع إلا بسير الليل</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وقد قال تعالى في أهل الجنّة: ﴿إِنَّهُمْ كَانُوا قَبْلَ ذَٰلِكَ مُحْسِنِينَ • كَانُوا قَلِيلًا مِّنَ اللَّيْلِ مَا يَهْجَعُونَ • وَبِالْأَسْحَارِ هُمْ يَسْتَغْفِرُونَ﴾</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جعلنا اللهُ وإيّاكم ممّن يبلُغ رمضانَ ويُعان على الصيام والقيام.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ذكره ابن كثير في «البداية والنهاية» وفي تفسيره عند قصّة قوم لوط، وهو من أخبار التراجم لا من المرفوع.</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من أخبار الزهد والتراجم في «حلية الأولياء» و«سير أعلام النبلاء»، تُساق للاعتبار لا للاحتجاج.</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(٣١٧٥) وابن ماجه وأحمد من حديث عائشة ﵂. قال الترمذي: «حسن»، وصحّحه الألباني في «صحيح الترمذي» و«السلسلة الصحيحة» (١٦٢).</w:t>
      </w:r>
    </w:p>
  </w:footnote>
  <w:footnote w:id="4">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(٤١٧١) وأحمد من حديث أبي أيّوب ﵁، وحسّنه الألباني في «صحيح الجامع» (٧٤٢) و«السلسلة الصحيحة» (٤٠١).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استقبالُ رمضان — لماذا وبماذا؟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2026-08-02T02:35:16.419Z</dcterms:created>
  <dcterms:modified xsi:type="dcterms:W3CDTF">2026-08-02T02:35:16.419Z</dcterms:modified>
</cp:coreProperties>
</file>

<file path=docProps/custom.xml><?xml version="1.0" encoding="utf-8"?>
<Properties xmlns="http://schemas.openxmlformats.org/officeDocument/2006/custom-properties" xmlns:vt="http://schemas.openxmlformats.org/officeDocument/2006/docPropsVTypes"/>
</file>