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النفسُ اللوّامة</w:t>
      </w:r>
    </w:p>
    <w:p>
      <w:pPr>
        <w:spacing w:after="120"/>
      </w:pPr>
      <w:r>
        <w:rPr>
          <w:color w:val="8A6A1F"/>
          <w:sz w:val="36"/>
          <w:szCs w:val="36"/>
        </w:rPr>
        <w:t xml:space="preserve">صُوَرُ الخِزيِ في الدنيا والآخرة، وأسبابُه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خَلْفَ الأقنعة</w:t>
      </w:r>
    </w:p>
    <w:p>
      <w:pPr>
        <w:spacing w:after="140" w:line="340" w:lineRule="auto"/>
        <w:jc w:val="both"/>
      </w:pPr>
      <w:r>
        <w:rPr>
          <w:color w:val="1A1A1A"/>
          <w:sz w:val="36"/>
          <w:szCs w:val="36"/>
        </w:rPr>
        <w:t xml:space="preserve">وبعدُ، أحبَّتي في الله، معاشرَ المصلِّين: تتوقُ نفوسُنا إلى الشُّهرةِ والذِّكرِ فتبحثُ عنهما بأيِّ ثمن. ولا تزالُ هذه النفسُ اللوّامةُ ـ التي أقسمَ اللهُ بها: </w:t>
      </w:r>
      <w:r>
        <w:rPr>
          <w:b/>
          <w:bCs/>
          <w:color w:val="8A6A1F"/>
          <w:sz w:val="36"/>
          <w:szCs w:val="36"/>
        </w:rPr>
        <w:t xml:space="preserve">﴿وَلَا أُقْسِمُ بِالنَّفْسِ اللَّوَّامَةِ﴾</w:t>
      </w:r>
      <w:r>
        <w:rPr>
          <w:color w:val="1A1A1A"/>
          <w:sz w:val="36"/>
          <w:szCs w:val="36"/>
        </w:rPr>
        <w:t xml:space="preserve"> ـ تلومُنا على الخيرِ تارةً وعلى الشرِّ تارة، ونحن في غفلةٍ شديدة.</w:t>
      </w:r>
    </w:p>
    <w:p>
      <w:pPr>
        <w:spacing w:after="140" w:line="340" w:lineRule="auto"/>
        <w:jc w:val="both"/>
      </w:pPr>
      <w:r>
        <w:rPr>
          <w:color w:val="1A1A1A"/>
          <w:sz w:val="36"/>
          <w:szCs w:val="36"/>
        </w:rPr>
        <w:t xml:space="preserve">نتزيّا ونتوارى خلفَ أقنعتِنا، ونستخدمُ كلَّ المساحيقِ في سبيلِ إشراقِ وجهٍ وعُلوِّ ذِكر؛ لكنّنا نَغفُلُ عن حقيقةٍ مُرَّة: أنّ العبدَ مُعرَّضٌ لخِزيٍ في الدنيا ومُعرَّضٌ لخِزيٍ في الآخرة.</w:t>
      </w:r>
    </w:p>
    <w:p>
      <w:pPr>
        <w:spacing w:after="140" w:line="340" w:lineRule="auto"/>
        <w:jc w:val="both"/>
      </w:pPr>
      <w:r>
        <w:rPr>
          <w:color w:val="1A1A1A"/>
          <w:sz w:val="36"/>
          <w:szCs w:val="36"/>
        </w:rPr>
        <w:t xml:space="preserve">فكلامي اليومَ عن صُوَرِ خِزيِ الدنيا وخِزيِ الآخرةِ وأسبابِهما؛ وهو موجَّهٌ إلى نفسي أوّلًا. فاحذَرْ من مُغالَطةِ نفسِك أن تُوهِمَك أنّ الكلامَ غيرُ موجَّهٍ إليك.</w:t>
      </w:r>
    </w:p>
    <w:p>
      <w:pPr>
        <w:spacing w:before="260" w:after="120"/>
      </w:pPr>
      <w:r>
        <w:rPr>
          <w:b/>
          <w:bCs/>
          <w:color w:val="1F5C3A"/>
          <w:sz w:val="36"/>
          <w:szCs w:val="36"/>
        </w:rPr>
        <w:t xml:space="preserve">أولًا: صُوَرُ الخِزيِ في الدنيا</w:t>
      </w:r>
    </w:p>
    <w:p>
      <w:pPr>
        <w:spacing w:before="200" w:after="100"/>
      </w:pPr>
      <w:r>
        <w:rPr>
          <w:b/>
          <w:bCs/>
          <w:color w:val="1A1A1A"/>
          <w:sz w:val="36"/>
          <w:szCs w:val="36"/>
        </w:rPr>
        <w:t xml:space="preserve">١) سوءُ الخاتمة</w:t>
      </w:r>
    </w:p>
    <w:p>
      <w:pPr>
        <w:spacing w:after="140" w:line="340" w:lineRule="auto"/>
        <w:jc w:val="both"/>
      </w:pPr>
      <w:r>
        <w:rPr>
          <w:color w:val="1A1A1A"/>
          <w:sz w:val="36"/>
          <w:szCs w:val="36"/>
        </w:rPr>
        <w:t xml:space="preserve">أن يقبِضَك اللهُ على عملٍ قبيحٍ وأنت الذي يُشارُ إليك بالبَنان: أنت المُصلّي المُحسِن، أنت المتصدِّقُ المُنفِق، أنت الحاجُّ المعتمِر ـ ثم يذهبُ هذا كلُّه عند الختامِ فتُقبَلُ على معصيةِ اللهِ فيقبِضُك عليها!</w:t>
      </w:r>
    </w:p>
    <w:p>
      <w:pPr>
        <w:spacing w:after="140" w:line="340" w:lineRule="auto"/>
        <w:jc w:val="both"/>
      </w:pPr>
      <w:r>
        <w:rPr>
          <w:color w:val="1A1A1A"/>
          <w:sz w:val="36"/>
          <w:szCs w:val="36"/>
        </w:rPr>
        <w:t xml:space="preserve">فتأمَّلْ حالَك، وسافِرْ بقلبِك إلى تلك اللحظات؛ فهي أشدُّ اللحظاتِ التي تمُرُّ بك. وقد قال ﷺ:</w:t>
      </w:r>
    </w:p>
    <w:p>
      <w:pPr>
        <w:pBdr>
          <w:right w:val="single" w:sz="12" w:space="10" w:color="8A6A1F"/>
        </w:pBdr>
        <w:spacing w:before="120" w:after="160" w:line="320" w:lineRule="auto"/>
        <w:ind w:left="504" w:right="504"/>
        <w:jc w:val="both"/>
      </w:pPr>
      <w:r>
        <w:rPr>
          <w:b/>
          <w:bCs/>
          <w:color w:val="1F5C3A"/>
          <w:sz w:val="36"/>
          <w:szCs w:val="36"/>
        </w:rPr>
        <w:t xml:space="preserve">«إنما الأعمالُ بالخواتيم»</w:t>
      </w:r>
      <w:r>
        <w:rPr>
          <w:rStyle w:val="a5"/>
          <w:sz w:val="36"/>
          <w:szCs w:val="36"/>
        </w:rPr>
        <w:footnoteReference w:id="1"/>
      </w:r>
    </w:p>
    <w:p>
      <w:pPr>
        <w:spacing w:before="200" w:after="100"/>
      </w:pPr>
      <w:r>
        <w:rPr>
          <w:b/>
          <w:bCs/>
          <w:color w:val="1A1A1A"/>
          <w:sz w:val="36"/>
          <w:szCs w:val="36"/>
        </w:rPr>
        <w:t xml:space="preserve">٢) انكشافُ السِّتر</w:t>
      </w:r>
    </w:p>
    <w:p>
      <w:pPr>
        <w:spacing w:after="140" w:line="340" w:lineRule="auto"/>
        <w:jc w:val="both"/>
      </w:pPr>
      <w:r>
        <w:rPr>
          <w:color w:val="1A1A1A"/>
          <w:sz w:val="36"/>
          <w:szCs w:val="36"/>
        </w:rPr>
        <w:t xml:space="preserve">يا معاشرَ الشبابِ والشيوخ: إنّ من مُغالَطاتِ النفسِ ومن خِداعِ الشيطانِ أن يغُرَّنا سِترُ الله؛ نتوارى خلفَ الظلامِ مُقبِلين على الآثام، واللهُ العلّامُ يرانا وملائكتُه الكرامُ يكتُبون.</w:t>
      </w:r>
    </w:p>
    <w:p>
      <w:pPr>
        <w:spacing w:after="140" w:line="340" w:lineRule="auto"/>
        <w:jc w:val="both"/>
      </w:pPr>
      <w:r>
        <w:rPr>
          <w:color w:val="1A1A1A"/>
          <w:sz w:val="36"/>
          <w:szCs w:val="36"/>
        </w:rPr>
        <w:t xml:space="preserve">غرَّك سِترُ اللهِ فتُبارِزُه بالمعاصي خلفَ شاشةِ جوّالِك، في ظلامِ الليلِ حين يتولّى من كنتَ تتزيَّنُ لأعيُنِهم. فاحذَرْ من انكشافِ السِّتر؛ فإنّ الناسَ إن اطَّلَعوا على تلك الذنوبِ فوَربي إنه لَخِزيُ الدنيا. وقد قال ﷺ:</w:t>
      </w:r>
    </w:p>
    <w:p>
      <w:pPr>
        <w:pBdr>
          <w:right w:val="single" w:sz="12" w:space="10" w:color="8A6A1F"/>
        </w:pBdr>
        <w:spacing w:before="120" w:after="160" w:line="320" w:lineRule="auto"/>
        <w:ind w:left="504" w:right="504"/>
        <w:jc w:val="both"/>
      </w:pPr>
      <w:r>
        <w:rPr>
          <w:b/>
          <w:bCs/>
          <w:color w:val="1F5C3A"/>
          <w:sz w:val="36"/>
          <w:szCs w:val="36"/>
        </w:rPr>
        <w:t xml:space="preserve">«كلُّ أمَّتي مُعافًى إلا المُجاهِرين»</w:t>
      </w:r>
      <w:r>
        <w:rPr>
          <w:rStyle w:val="a5"/>
          <w:sz w:val="36"/>
          <w:szCs w:val="36"/>
        </w:rPr>
        <w:footnoteReference w:id="2"/>
      </w:r>
    </w:p>
    <w:p>
      <w:pPr>
        <w:spacing w:after="140" w:line="340" w:lineRule="auto"/>
        <w:jc w:val="both"/>
      </w:pPr>
      <w:r>
        <w:rPr>
          <w:color w:val="1A1A1A"/>
          <w:sz w:val="36"/>
          <w:szCs w:val="36"/>
        </w:rPr>
        <w:t xml:space="preserve">فلا يغُرَّنَّك أنه لا يراك أحد؛ إنّ الواحدَ الأحدَ يراك، وما بينك وبين الخِزيِ إلا سِترُ الله.</w:t>
      </w:r>
    </w:p>
    <w:p>
      <w:pPr>
        <w:spacing w:before="260" w:after="120"/>
      </w:pPr>
      <w:r>
        <w:rPr>
          <w:b/>
          <w:bCs/>
          <w:color w:val="1F5C3A"/>
          <w:sz w:val="36"/>
          <w:szCs w:val="36"/>
        </w:rPr>
        <w:t xml:space="preserve">ثانيًا: صُوَرُ الخِزيِ في الآخرة</w:t>
      </w:r>
    </w:p>
    <w:p>
      <w:pPr>
        <w:spacing w:after="140" w:line="340" w:lineRule="auto"/>
        <w:jc w:val="both"/>
      </w:pPr>
      <w:r>
        <w:rPr>
          <w:color w:val="1A1A1A"/>
          <w:sz w:val="36"/>
          <w:szCs w:val="36"/>
        </w:rPr>
        <w:t xml:space="preserve">قد تُنهي المسرحيةَ في الدنيا فلا يطَّلِعُ على ذنوبِك أحد، لكنّ خِزيًا ينتظِرُك يومَ القيامةِ يراك فيه الأوَّلون والآخِرون.</w:t>
      </w:r>
    </w:p>
    <w:p>
      <w:pPr>
        <w:spacing w:before="200" w:after="100"/>
      </w:pPr>
      <w:r>
        <w:rPr>
          <w:b/>
          <w:bCs/>
          <w:color w:val="1A1A1A"/>
          <w:sz w:val="36"/>
          <w:szCs w:val="36"/>
        </w:rPr>
        <w:t xml:space="preserve">١) عدمُ القدرةِ على السجود</w:t>
      </w:r>
    </w:p>
    <w:p>
      <w:pPr>
        <w:spacing w:after="140" w:line="340" w:lineRule="auto"/>
        <w:jc w:val="both"/>
      </w:pPr>
      <w:r>
        <w:rPr>
          <w:color w:val="1A1A1A"/>
          <w:sz w:val="36"/>
          <w:szCs w:val="36"/>
        </w:rPr>
        <w:t xml:space="preserve">هذا الذي تَوارى خلفَ قِناعِ رِيائِه فما قصَدَ بقلبِه وجهَ الله؛ جاء في </w:t>
      </w:r>
      <w:r>
        <w:rPr>
          <w:b/>
          <w:bCs/>
          <w:color w:val="1F5C3A"/>
          <w:sz w:val="36"/>
          <w:szCs w:val="36"/>
        </w:rPr>
        <w:t xml:space="preserve">«الصحيحين»</w:t>
      </w:r>
      <w:r>
        <w:rPr>
          <w:color w:val="1A1A1A"/>
          <w:sz w:val="36"/>
          <w:szCs w:val="36"/>
        </w:rPr>
        <w:t xml:space="preserve"> من حديث أبي سعيدٍ ﵁ في وصفِ يومِ القيامةِ أنه يكشِفُ الربُّ ﷻ عن ساقِه فيسجُدُ له كلُّ مؤمنٍ ومؤمنة:</w:t>
      </w:r>
    </w:p>
    <w:p>
      <w:pPr>
        <w:pBdr>
          <w:right w:val="single" w:sz="12" w:space="10" w:color="8A6A1F"/>
        </w:pBdr>
        <w:spacing w:before="120" w:after="160" w:line="320" w:lineRule="auto"/>
        <w:ind w:left="504" w:right="504"/>
        <w:jc w:val="both"/>
      </w:pPr>
      <w:r>
        <w:rPr>
          <w:b/>
          <w:bCs/>
          <w:color w:val="1F5C3A"/>
          <w:sz w:val="36"/>
          <w:szCs w:val="36"/>
        </w:rPr>
        <w:t xml:space="preserve">«ويَبقى من كان يسجُدُ في الدنيا رِياءً وسُمعة، فيذهبُ لِيَسجُدَ فيعودُ ظهرُه طَبَقًا واحدًا»</w:t>
      </w:r>
      <w:r>
        <w:rPr>
          <w:rStyle w:val="a5"/>
          <w:sz w:val="36"/>
          <w:szCs w:val="36"/>
        </w:rPr>
        <w:footnoteReference w:id="3"/>
      </w:r>
    </w:p>
    <w:p>
      <w:pPr>
        <w:spacing w:after="140" w:line="340" w:lineRule="auto"/>
        <w:jc w:val="both"/>
      </w:pPr>
      <w:r>
        <w:rPr>
          <w:color w:val="1A1A1A"/>
          <w:sz w:val="36"/>
          <w:szCs w:val="36"/>
        </w:rPr>
        <w:t xml:space="preserve">يا فلانُ، أنت صاحبُ السجودِ والصلاةِ والطاعات! لكنّك رأَيتَ بها، فلن تتمكَّنَ من السجود.</w:t>
      </w:r>
    </w:p>
    <w:p>
      <w:pPr>
        <w:spacing w:before="200" w:after="100"/>
      </w:pPr>
      <w:r>
        <w:rPr>
          <w:b/>
          <w:bCs/>
          <w:color w:val="1A1A1A"/>
          <w:sz w:val="36"/>
          <w:szCs w:val="36"/>
        </w:rPr>
        <w:t xml:space="preserve">٢) انطفاءُ النور</w:t>
      </w:r>
    </w:p>
    <w:p>
      <w:pPr>
        <w:spacing w:after="140" w:line="340" w:lineRule="auto"/>
        <w:jc w:val="both"/>
      </w:pPr>
      <w:r>
        <w:rPr>
          <w:color w:val="1A1A1A"/>
          <w:sz w:val="36"/>
          <w:szCs w:val="36"/>
        </w:rPr>
        <w:t xml:space="preserve">يُضرَبُ الصراطُ والظلامُ دامس، فيُعطى المؤمنون نورًا يسعَونَ به؛ ثم ينطفئُ نورُ أهلِ النفاق، فيُنادون:</w:t>
      </w:r>
    </w:p>
    <w:p>
      <w:pPr>
        <w:pBdr>
          <w:right w:val="single" w:sz="12" w:space="10" w:color="8A6A1F"/>
        </w:pBdr>
        <w:spacing w:before="120" w:after="160" w:line="320" w:lineRule="auto"/>
        <w:ind w:left="504" w:right="504"/>
        <w:jc w:val="both"/>
      </w:pPr>
      <w:r>
        <w:rPr>
          <w:b/>
          <w:bCs/>
          <w:color w:val="8A6A1F"/>
          <w:sz w:val="36"/>
          <w:szCs w:val="36"/>
        </w:rPr>
        <w:t xml:space="preserve">﴿يَوْمَ يَقُولُ الْمُنَافِقُونَ وَالْمُنَافِقَاتُ لِلَّذِينَ آمَنُوا انظُرُونَا نَقْتَبِسْ مِن نُّورِكُمْ ۚ قِيلَ ارْجِعُوا وَرَاءَكُمْ فَالْتَمِسُوا نُورًا﴾</w:t>
      </w:r>
    </w:p>
    <w:p>
      <w:pPr>
        <w:spacing w:after="140" w:line="340" w:lineRule="auto"/>
        <w:jc w:val="both"/>
      </w:pPr>
      <w:r>
        <w:rPr>
          <w:color w:val="1A1A1A"/>
          <w:sz w:val="36"/>
          <w:szCs w:val="36"/>
        </w:rPr>
        <w:t xml:space="preserve">تخيَّلْ نفسَك وتلك الحسناتِ التي ما أخلَصتَ فيها هباءً منثورًا، ثم يُؤتى لك بالنورِ فينطفئ! أيُّ خِزيٍ حين يرى الخلائقُ انطفاءَ نورِك؟!</w:t>
      </w:r>
    </w:p>
    <w:p>
      <w:pPr>
        <w:spacing w:before="200" w:after="100"/>
      </w:pPr>
      <w:r>
        <w:rPr>
          <w:b/>
          <w:bCs/>
          <w:color w:val="1A1A1A"/>
          <w:sz w:val="36"/>
          <w:szCs w:val="36"/>
        </w:rPr>
        <w:t xml:space="preserve">٣) مَحشرُ من يأمُرُ ولا يأتمِر</w:t>
      </w:r>
    </w:p>
    <w:p>
      <w:pPr>
        <w:spacing w:after="140" w:line="340" w:lineRule="auto"/>
        <w:jc w:val="both"/>
      </w:pPr>
      <w:r>
        <w:rPr>
          <w:color w:val="1A1A1A"/>
          <w:sz w:val="36"/>
          <w:szCs w:val="36"/>
        </w:rPr>
        <w:t xml:space="preserve">قال ﷺ ـ كما في </w:t>
      </w:r>
      <w:r>
        <w:rPr>
          <w:b/>
          <w:bCs/>
          <w:color w:val="1F5C3A"/>
          <w:sz w:val="36"/>
          <w:szCs w:val="36"/>
        </w:rPr>
        <w:t xml:space="preserve">«الصحيحين»</w:t>
      </w:r>
      <w:r>
        <w:rPr>
          <w:color w:val="1A1A1A"/>
          <w:sz w:val="36"/>
          <w:szCs w:val="36"/>
        </w:rPr>
        <w:t xml:space="preserve"> من حديث أسامةَ بنِ زيدٍ ﵄:</w:t>
      </w:r>
    </w:p>
    <w:p>
      <w:pPr>
        <w:pBdr>
          <w:right w:val="single" w:sz="12" w:space="10" w:color="8A6A1F"/>
        </w:pBdr>
        <w:spacing w:before="120" w:after="160" w:line="320" w:lineRule="auto"/>
        <w:ind w:left="504" w:right="504"/>
        <w:jc w:val="both"/>
      </w:pPr>
      <w:r>
        <w:rPr>
          <w:b/>
          <w:bCs/>
          <w:color w:val="1F5C3A"/>
          <w:sz w:val="36"/>
          <w:szCs w:val="36"/>
        </w:rPr>
        <w:t xml:space="preserve">«يُؤتى بالرجلِ يومَ القيامةِ فيُلقى في النار، فتَندَلِقُ أقتابُ بطنِه فيدورُ بها كما يدورُ الحمارُ بالرَّحى؛ فيجتمِعُ إليه أهلُ النارِ فيقولون: يا فلان، ما لك؟ ألم تكُنْ تأمُرُ بالمعروفِ وتنهى عن المنكر؟ فيقول: بلى، كنتُ آمُرُ بالمعروفِ ولا آتيه، وأنهى عن المنكرِ وآتيه»</w:t>
      </w:r>
      <w:r>
        <w:rPr>
          <w:rStyle w:val="a5"/>
          <w:sz w:val="36"/>
          <w:szCs w:val="36"/>
        </w:rPr>
        <w:footnoteReference w:id="4"/>
      </w:r>
    </w:p>
    <w:p>
      <w:pPr>
        <w:spacing w:after="140" w:line="340" w:lineRule="auto"/>
        <w:jc w:val="both"/>
      </w:pPr>
      <w:r>
        <w:rPr>
          <w:color w:val="1A1A1A"/>
          <w:sz w:val="36"/>
          <w:szCs w:val="36"/>
        </w:rPr>
        <w:t xml:space="preserve">هذا صاحبُ المنشوراتِ ورافعُ راياتِ الإصلاح، وصاحبُ الكلامِ المعسول ـ إن لم يعمَلْ بما يقول.</w:t>
      </w:r>
    </w:p>
    <w:p>
      <w:pPr>
        <w:spacing w:before="200" w:after="100"/>
      </w:pPr>
      <w:r>
        <w:rPr>
          <w:b/>
          <w:bCs/>
          <w:color w:val="1A1A1A"/>
          <w:sz w:val="36"/>
          <w:szCs w:val="36"/>
        </w:rPr>
        <w:t xml:space="preserve">٤) لِواءُ الغادِر</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«إنّ الغادرَ يُنصَبُ له لواءٌ يومَ القيامةِ فيُقال: هذه غَدْرةُ فلانِ بنِ فلان»</w:t>
      </w:r>
      <w:r>
        <w:rPr>
          <w:rStyle w:val="a5"/>
          <w:sz w:val="36"/>
          <w:szCs w:val="36"/>
        </w:rPr>
        <w:footnoteReference w:id="5"/>
      </w:r>
    </w:p>
    <w:p>
      <w:pPr>
        <w:spacing w:after="140" w:line="340" w:lineRule="auto"/>
        <w:jc w:val="both"/>
      </w:pPr>
      <w:r>
        <w:rPr>
          <w:color w:val="1A1A1A"/>
          <w:sz w:val="36"/>
          <w:szCs w:val="36"/>
        </w:rPr>
        <w:t xml:space="preserve">فأيُّ خِزيٍ أقبحُ من هذا لمن غدَرَ في عِرضٍ أو مالٍ أو ذِمَّة؟!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أيها الأحبَّةُ في الله: فقد يتساءلُ عاقلٌ: إنّ اللهَ حَيِيٌّ سِتِّير، فمن أين يأتي هذا الخِزي؟ أقول: إنّ له أسبابًا فاحذَرْها.</w:t>
      </w:r>
    </w:p>
    <w:p>
      <w:pPr>
        <w:spacing w:before="260" w:after="120"/>
      </w:pPr>
      <w:r>
        <w:rPr>
          <w:b/>
          <w:bCs/>
          <w:color w:val="1F5C3A"/>
          <w:sz w:val="36"/>
          <w:szCs w:val="36"/>
        </w:rPr>
        <w:t xml:space="preserve">ثالثًا: أسبابُ الخِزي</w:t>
      </w:r>
    </w:p>
    <w:p>
      <w:pPr>
        <w:spacing w:before="200" w:after="100"/>
      </w:pPr>
      <w:r>
        <w:rPr>
          <w:b/>
          <w:bCs/>
          <w:color w:val="1A1A1A"/>
          <w:sz w:val="36"/>
          <w:szCs w:val="36"/>
        </w:rPr>
        <w:t xml:space="preserve">١) الرِّياء</w:t>
      </w:r>
    </w:p>
    <w:p>
      <w:pPr>
        <w:spacing w:after="140" w:line="340" w:lineRule="auto"/>
        <w:jc w:val="both"/>
      </w:pPr>
      <w:r>
        <w:rPr>
          <w:color w:val="1A1A1A"/>
          <w:sz w:val="36"/>
          <w:szCs w:val="36"/>
        </w:rPr>
        <w:t xml:space="preserve">فيا من لم تُحقِّقِ الإخلاصَ في أعمالِك: إنّ صاحبَ الرياءِ مُتوعَّدٌ بخِزيِ الدنيا قبل الآخرة. وقد أخبرَ ﷺ عن رجلٍ لم يبقَ بينه وبين الجنةِ إلا ذراع:</w:t>
      </w:r>
    </w:p>
    <w:p>
      <w:pPr>
        <w:pBdr>
          <w:right w:val="single" w:sz="12" w:space="10" w:color="8A6A1F"/>
        </w:pBdr>
        <w:spacing w:before="120" w:after="160" w:line="320" w:lineRule="auto"/>
        <w:ind w:left="504" w:right="504"/>
        <w:jc w:val="both"/>
      </w:pPr>
      <w:r>
        <w:rPr>
          <w:b/>
          <w:bCs/>
          <w:color w:val="1F5C3A"/>
          <w:sz w:val="36"/>
          <w:szCs w:val="36"/>
        </w:rPr>
        <w:t xml:space="preserve">«وإنّ أحدَكم لَيعمَلُ بعملِ أهلِ الجنةِ حتى ما يكونُ بينه وبينها إلا ذراع، فيَسبِقُ عليه الكتابُ فيعمَلُ بعملِ أهلِ النارِ فيدخُلُها»</w:t>
      </w:r>
      <w:r>
        <w:rPr>
          <w:rStyle w:val="a5"/>
          <w:sz w:val="36"/>
          <w:szCs w:val="36"/>
        </w:rPr>
        <w:footnoteReference w:id="6"/>
      </w:r>
    </w:p>
    <w:p>
      <w:pPr>
        <w:spacing w:after="140" w:line="340" w:lineRule="auto"/>
        <w:jc w:val="both"/>
      </w:pPr>
      <w:r>
        <w:rPr>
          <w:color w:val="1A1A1A"/>
          <w:sz w:val="36"/>
          <w:szCs w:val="36"/>
        </w:rPr>
        <w:t xml:space="preserve">وفي روايةٍ: </w:t>
      </w:r>
      <w:r>
        <w:rPr>
          <w:b/>
          <w:bCs/>
          <w:color w:val="1F5C3A"/>
          <w:sz w:val="36"/>
          <w:szCs w:val="36"/>
        </w:rPr>
        <w:t xml:space="preserve">«فيما يبدو للناس»</w:t>
      </w:r>
      <w:r>
        <w:rPr>
          <w:color w:val="1A1A1A"/>
          <w:sz w:val="36"/>
          <w:szCs w:val="36"/>
        </w:rPr>
        <w:t xml:space="preserve"> ـ أي أنّ الناسَ يرَونَ ظاهرَه صالحًا وباطنُه بخلافِ ذلك. فالحذَرَ من تقلُّبِ النيّاتِ وعدمِ سلامةِ المقاصد.</w:t>
      </w:r>
    </w:p>
    <w:p>
      <w:pPr>
        <w:spacing w:before="200" w:after="100"/>
      </w:pPr>
      <w:r>
        <w:rPr>
          <w:b/>
          <w:bCs/>
          <w:color w:val="1A1A1A"/>
          <w:sz w:val="36"/>
          <w:szCs w:val="36"/>
        </w:rPr>
        <w:t xml:space="preserve">٢) ذنوبُ الخَلَوات</w:t>
      </w:r>
    </w:p>
    <w:p>
      <w:pPr>
        <w:spacing w:after="140" w:line="340" w:lineRule="auto"/>
        <w:jc w:val="both"/>
      </w:pPr>
      <w:r>
        <w:rPr>
          <w:color w:val="1A1A1A"/>
          <w:sz w:val="36"/>
          <w:szCs w:val="36"/>
        </w:rPr>
        <w:t xml:space="preserve">فقد سهُلَ الوصولُ إلى الذنبِ اليومَ بحركةٍ واحدةٍ من أصابعِك في خَلوة. واعلَمْ علمَ اليقينِ أنّ ذنوبَ الخَلَواتِ مُهلِكات، وأنّها من أعظمِ أسبابِ الخِزي. قال ﷺ في حديث ثَوبانَ ﵁:</w:t>
      </w:r>
    </w:p>
    <w:p>
      <w:pPr>
        <w:pBdr>
          <w:right w:val="single" w:sz="12" w:space="10" w:color="8A6A1F"/>
        </w:pBdr>
        <w:spacing w:before="120" w:after="160" w:line="320" w:lineRule="auto"/>
        <w:ind w:left="504" w:right="504"/>
        <w:jc w:val="both"/>
      </w:pPr>
      <w:r>
        <w:rPr>
          <w:b/>
          <w:bCs/>
          <w:color w:val="1F5C3A"/>
          <w:sz w:val="36"/>
          <w:szCs w:val="36"/>
        </w:rPr>
        <w:t xml:space="preserve">«لَأعلَمَنَّ أقوامًا من أمَّتي يأتون يومَ القيامةِ بحسناتٍ أمثالِ جبالِ تِهامةَ بيضاء، فيجعلُها اللهُ هباءً منثورًا»</w:t>
      </w:r>
    </w:p>
    <w:p>
      <w:pPr>
        <w:spacing w:after="140" w:line="340" w:lineRule="auto"/>
        <w:jc w:val="both"/>
      </w:pPr>
      <w:r>
        <w:rPr>
          <w:color w:val="1A1A1A"/>
          <w:sz w:val="36"/>
          <w:szCs w:val="36"/>
        </w:rPr>
        <w:t xml:space="preserve">قال ثوبان: يا رسولَ الله، صِفْهم لنا، جَلِّهم لنا ألّا نكونَ منهم ونحن لا نعلم! قال:</w:t>
      </w:r>
    </w:p>
    <w:p>
      <w:pPr>
        <w:pBdr>
          <w:right w:val="single" w:sz="12" w:space="10" w:color="8A6A1F"/>
        </w:pBdr>
        <w:spacing w:before="120" w:after="160" w:line="320" w:lineRule="auto"/>
        <w:ind w:left="504" w:right="504"/>
        <w:jc w:val="both"/>
      </w:pPr>
      <w:r>
        <w:rPr>
          <w:b/>
          <w:bCs/>
          <w:color w:val="1F5C3A"/>
          <w:sz w:val="36"/>
          <w:szCs w:val="36"/>
        </w:rPr>
        <w:t xml:space="preserve">«أَما إنهم إخوانُكم ومن جِلدتِكم، ويأخُذون من الليلِ كما تأخُذون، ولكنّهم أقوامٌ إذا خلَوا بمحارمِ اللهِ انتهَكوها»</w:t>
      </w:r>
      <w:r>
        <w:rPr>
          <w:rStyle w:val="a5"/>
          <w:sz w:val="36"/>
          <w:szCs w:val="36"/>
        </w:rPr>
        <w:footnoteReference w:id="7"/>
      </w:r>
    </w:p>
    <w:p>
      <w:pPr>
        <w:spacing w:after="140" w:line="340" w:lineRule="auto"/>
        <w:jc w:val="both"/>
      </w:pPr>
      <w:r>
        <w:rPr>
          <w:color w:val="1A1A1A"/>
          <w:sz w:val="36"/>
          <w:szCs w:val="36"/>
        </w:rPr>
        <w:t xml:space="preserve">فقضيةٌ خطيرة: صلواتُنا وطاعاتُنا في خطرٍ إذا كنّا نُبارِزُ اللهَ في السرّ. فحقيقةُ إيمانِك ليست أمامَ الناس؛ حقيقتُك حين يتولّى الرقيبُ البشريّ.</w:t>
      </w:r>
    </w:p>
    <w:p>
      <w:pPr>
        <w:spacing w:before="200" w:after="100"/>
      </w:pPr>
      <w:r>
        <w:rPr>
          <w:b/>
          <w:bCs/>
          <w:color w:val="1A1A1A"/>
          <w:sz w:val="36"/>
          <w:szCs w:val="36"/>
        </w:rPr>
        <w:t xml:space="preserve">٣) التطاوُلُ على أهلِ الفضل</w:t>
      </w:r>
    </w:p>
    <w:p>
      <w:pPr>
        <w:spacing w:after="140" w:line="340" w:lineRule="auto"/>
        <w:jc w:val="both"/>
      </w:pPr>
      <w:r>
        <w:rPr>
          <w:color w:val="1A1A1A"/>
          <w:sz w:val="36"/>
          <w:szCs w:val="36"/>
        </w:rPr>
        <w:t xml:space="preserve">فالذي يُطلِقُ لسانَه يتنقَّصُ أصحابَ المقاماتِ العالية ـ من الأنبياءِ والعلماءِ والصالحين ـ إن لم يَتُبْ فهو مُتوعَّدٌ بخِزيٍ في الدنيا قبل الآخرة. وقد قال ﷺ عن اللهِ ﷿: </w:t>
      </w:r>
      <w:r>
        <w:rPr>
          <w:b/>
          <w:bCs/>
          <w:color w:val="1F5C3A"/>
          <w:sz w:val="36"/>
          <w:szCs w:val="36"/>
        </w:rPr>
        <w:t xml:space="preserve">«مَن عادى لي وليًّا فقد آذَنتُه بالحرب»</w:t>
      </w:r>
      <w:r>
        <w:rPr>
          <w:color w:val="1A1A1A"/>
          <w:sz w:val="36"/>
          <w:szCs w:val="36"/>
        </w:rPr>
        <w:t xml:space="preserve">.</w:t>
      </w:r>
      <w:r>
        <w:rPr>
          <w:rStyle w:val="a5"/>
          <w:sz w:val="36"/>
          <w:szCs w:val="36"/>
        </w:rPr>
        <w:footnoteReference w:id="8"/>
      </w:r>
    </w:p>
    <w:p>
      <w:pPr>
        <w:spacing w:after="140" w:line="340" w:lineRule="auto"/>
        <w:jc w:val="both"/>
      </w:pPr>
      <w:r>
        <w:rPr>
          <w:color w:val="1A1A1A"/>
          <w:sz w:val="36"/>
          <w:szCs w:val="36"/>
        </w:rPr>
        <w:t xml:space="preserve">وفي تاريخِنا مواعظُ: كم من رجلٍ تطاوَلَ على مقامِ إمامٍ من أئمَّةِ السنَّةِ فارتفعَ ذِكرُه حينًا وصارَ الآمرَ الناهي، ثم أظهرَ اللهُ الحقَّ وأخذَه أخْذَ عزيزٍ مُقتدِر، فصارَ عِبرةً بعد أن كان يُشفَعُ عنده في المدينةِ بأسرِها.</w:t>
      </w:r>
      <w:r>
        <w:rPr>
          <w:rStyle w:val="a5"/>
          <w:sz w:val="36"/>
          <w:szCs w:val="36"/>
        </w:rPr>
        <w:footnoteReference w:id="9"/>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نسألُ اللهَ أن يُعيذَنا من خِزيِ الدنيا وخِزيِ الآخرة، وأن يرزُقَنا قلوبًا سليمةً وألسنةً صادقةً وأعمالًا خالصةً مرفوعة؛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سهل بن سعد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الخُدريِّ ﵁ في حديثِ الرؤيةِ الطويل.</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أسامةَ بنِ زيدٍ ﵄. و«أقتابُ البطن»: الأمعاء.</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مسعودٍ وسهلِ بنِ سعدٍ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من حديث ثَوبانَ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ما جرى لابنِ أبي دُؤادٍ قاضي القضاةِ في محنةِ خلقِ القرآن؛ ذكرَه الذهبيُّ في «سير أعلام النبلاء» وغيرُه.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