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تعظيمُ اللهِ جلَّ وعلا</w:t>
      </w:r>
    </w:p>
    <w:p>
      <w:pPr>
        <w:spacing w:after="120"/>
      </w:pPr>
      <w:r>
        <w:rPr>
          <w:color w:val="8A6A1F"/>
          <w:sz w:val="36"/>
          <w:szCs w:val="36"/>
        </w:rPr>
        <w:t xml:space="preserve">صُوَرُ تعظيمِ اللهِ وأثرُها في تقوى القلوب</w:t>
      </w:r>
    </w:p>
    <w:p>
      <w:pPr>
        <w:pBdr>
          <w:top w:val="single" w:sz="6" w:space="8" w:color="8A6A1F"/>
        </w:pBdr>
        <w:spacing w:after="60"/>
      </w:pPr>
      <w:r>
        <w:rPr>
          <w:color w:val="555555"/>
          <w:sz w:val="36"/>
          <w:szCs w:val="36"/>
        </w:rPr>
        <w:t xml:space="preserve">خُطبةُ جُمُعة | د. عماد السواعير العجارمة</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ما بالُ القلوب؟</w:t>
      </w:r>
    </w:p>
    <w:p>
      <w:pPr>
        <w:spacing w:after="140" w:line="340" w:lineRule="auto"/>
        <w:jc w:val="both"/>
      </w:pPr>
      <w:r>
        <w:rPr>
          <w:color w:val="1A1A1A"/>
          <w:sz w:val="36"/>
          <w:szCs w:val="36"/>
        </w:rPr>
        <w:t xml:space="preserve">وبعدُ، أحبَّتي في الله، معاشرَ المصلِّين: ما بالُ القلوبِ ما عادَتْ تشتاقُ ولا ترجو ولا تخاف؟ ما عادَتْ تقِفُ ولا تُقبِل؟ إنّ هذه القلوبَ **ما عظَّمَتِ العظيم**.</w:t>
      </w:r>
    </w:p>
    <w:p>
      <w:pPr>
        <w:spacing w:after="140" w:line="340" w:lineRule="auto"/>
        <w:jc w:val="both"/>
      </w:pPr>
      <w:r>
        <w:rPr>
          <w:color w:val="1A1A1A"/>
          <w:sz w:val="36"/>
          <w:szCs w:val="36"/>
        </w:rPr>
        <w:t xml:space="preserve">فحديثي اليومَ حديثٌ عظيمٌ لأنه عن العظيم. سأعرِضُ لك صُوَرًا من صُوَرِ تعظيمِ الله؛ فإن وُجِدَتْ فيك فاحمَدِ الله، وإلا فأَحسَنَ اللهُ عزاءَك في تعظيمِك. وإني أقولُها بمرارة: إننا نعيشُ زمانًا قلَّ فيه تعظيمُ الله؛ قال سبحانه:</w:t>
      </w:r>
    </w:p>
    <w:p>
      <w:pPr>
        <w:pBdr>
          <w:right w:val="single" w:sz="12" w:space="10" w:color="8A6A1F"/>
        </w:pBdr>
        <w:spacing w:before="120" w:after="160" w:line="320" w:lineRule="auto"/>
        <w:ind w:left="504" w:right="504"/>
        <w:jc w:val="both"/>
      </w:pPr>
      <w:r>
        <w:rPr>
          <w:b/>
          <w:bCs/>
          <w:color w:val="8A6A1F"/>
          <w:sz w:val="36"/>
          <w:szCs w:val="36"/>
        </w:rPr>
        <w:t xml:space="preserve">﴿مَّا لَكُمْ لَا تَرْجُونَ لِلَّهِ وَقَارًا﴾</w:t>
      </w:r>
    </w:p>
    <w:p>
      <w:pPr>
        <w:spacing w:before="260" w:after="120"/>
      </w:pPr>
      <w:r>
        <w:rPr>
          <w:b/>
          <w:bCs/>
          <w:color w:val="1F5C3A"/>
          <w:sz w:val="36"/>
          <w:szCs w:val="36"/>
        </w:rPr>
        <w:t xml:space="preserve">أولًا: أن تُعظِّمَ توحيدَه</w:t>
      </w:r>
    </w:p>
    <w:p>
      <w:pPr>
        <w:spacing w:after="140" w:line="340" w:lineRule="auto"/>
        <w:jc w:val="both"/>
      </w:pPr>
      <w:r>
        <w:rPr>
          <w:color w:val="1A1A1A"/>
          <w:sz w:val="36"/>
          <w:szCs w:val="36"/>
        </w:rPr>
        <w:t xml:space="preserve">أن يكونَ التوحيدُ في قلبِك أعظمَ المُعظَّماتِ وأهمَّ القضايا. فالعبدُ الذي يُفرِدُ اللهَ بالعبادةِ والطاعة، بالخوفِ والرجاءِ والمحبَّةِ ـ عبدٌ عظَّمَ الله.</w:t>
      </w:r>
    </w:p>
    <w:p>
      <w:pPr>
        <w:spacing w:after="140" w:line="340" w:lineRule="auto"/>
        <w:jc w:val="both"/>
      </w:pPr>
      <w:r>
        <w:rPr>
          <w:color w:val="1A1A1A"/>
          <w:sz w:val="36"/>
          <w:szCs w:val="36"/>
        </w:rPr>
        <w:t xml:space="preserve">وأمّا من يدَّعي التعظيمَ ثم يصرِفُ شيئًا من العبادةِ لغيرِ اللهِ ـ فيدعو مخلوقًا ويطلُبُ منه كشفَ الكُرُبات ـ فهذا ما قدَرَ اللهَ حقَّ قدرِه. </w:t>
      </w:r>
      <w:r>
        <w:rPr>
          <w:b/>
          <w:bCs/>
          <w:color w:val="8A6A1F"/>
          <w:sz w:val="36"/>
          <w:szCs w:val="36"/>
        </w:rPr>
        <w:t xml:space="preserve">﴿وَمَا قَدَرُوا اللَّهَ حَقَّ قَدْرِهِ﴾</w:t>
      </w:r>
      <w:r>
        <w:rPr>
          <w:color w:val="1A1A1A"/>
          <w:sz w:val="36"/>
          <w:szCs w:val="36"/>
        </w:rPr>
        <w:t xml:space="preserve">. فإنّ العباداتِ لا تُصرَفُ إلا للعظيم؛ وواللهِ ما عُبِدَ غيرُ اللهِ إلا لأنه عظُمَ في قلوبِ عابديه.</w:t>
      </w:r>
    </w:p>
    <w:p>
      <w:pPr>
        <w:spacing w:after="140" w:line="340" w:lineRule="auto"/>
        <w:jc w:val="both"/>
      </w:pPr>
      <w:r>
        <w:rPr>
          <w:color w:val="1A1A1A"/>
          <w:sz w:val="36"/>
          <w:szCs w:val="36"/>
        </w:rPr>
        <w:t xml:space="preserve">وتأمَّلوا كيف رفَعَ اللهُ من عظَّمَ توحيدَه: أحمدُ بنُ حنبلٍ ﵀ لمّا عظَّمَ اللهَ فثبَتَ في المِحنة، عظَّمَه اللهُ في قلوبِ الأمَّة إلى اليوم. وابنُ تيميةَ ﵀ لمّا دعا إلى التوحيدِ في زمنِ الغُربة، بقيَ ذِكرُه إلى الآن. بل عظَّمَ اللهُ **الهُدهُدَ** فخلَّدَ خبَرَه في القرآن؛ ولِمَ؟ لأنه أنكرَ السجودَ لغيرِ الله: </w:t>
      </w:r>
      <w:r>
        <w:rPr>
          <w:b/>
          <w:bCs/>
          <w:color w:val="8A6A1F"/>
          <w:sz w:val="36"/>
          <w:szCs w:val="36"/>
        </w:rPr>
        <w:t xml:space="preserve">﴿وَجَدتُّهَا وَقَوْمَهَا يَسْجُدُونَ لِلشَّمْسِ مِن دُونِ اللَّهِ﴾</w:t>
      </w:r>
      <w:r>
        <w:rPr>
          <w:color w:val="1A1A1A"/>
          <w:sz w:val="36"/>
          <w:szCs w:val="36"/>
        </w:rPr>
        <w:t xml:space="preserve">.</w:t>
      </w:r>
    </w:p>
    <w:p>
      <w:pPr>
        <w:spacing w:after="140" w:line="340" w:lineRule="auto"/>
        <w:jc w:val="both"/>
      </w:pPr>
      <w:r>
        <w:rPr>
          <w:color w:val="1A1A1A"/>
          <w:sz w:val="36"/>
          <w:szCs w:val="36"/>
        </w:rPr>
        <w:t xml:space="preserve">فوَربي لو عظَّمتَ شعائرَ الإسلامِ كلَّها ثم لم تُعظِّمِ التوحيدَ فما عظَّمتَ العظيم.</w:t>
      </w:r>
    </w:p>
    <w:p>
      <w:pPr>
        <w:spacing w:before="260" w:after="120"/>
      </w:pPr>
      <w:r>
        <w:rPr>
          <w:b/>
          <w:bCs/>
          <w:color w:val="1F5C3A"/>
          <w:sz w:val="36"/>
          <w:szCs w:val="36"/>
        </w:rPr>
        <w:t xml:space="preserve">ثانيًا: أن تُعظِّمَ أسماءَه وصفاتِه</w:t>
      </w:r>
    </w:p>
    <w:p>
      <w:pPr>
        <w:spacing w:after="140" w:line="340" w:lineRule="auto"/>
        <w:jc w:val="both"/>
      </w:pPr>
      <w:r>
        <w:rPr>
          <w:color w:val="1A1A1A"/>
          <w:sz w:val="36"/>
          <w:szCs w:val="36"/>
        </w:rPr>
        <w:t xml:space="preserve">أن تُصانَ الأسماءُ الحسنى والصفاتُ العُلا، ويُؤمَنَ بها كما آمنَ الجيلُ الأول: **إثباتٌ بلا تمثيل، وتنزيهٌ بلا تعطيل**؛ </w:t>
      </w:r>
      <w:r>
        <w:rPr>
          <w:b/>
          <w:bCs/>
          <w:color w:val="8A6A1F"/>
          <w:sz w:val="36"/>
          <w:szCs w:val="36"/>
        </w:rPr>
        <w:t xml:space="preserve">﴿لَيْسَ كَمِثْلِهِ شَيْءٌ ۖ وَهُوَ السَّمِيعُ الْبَصِيرُ﴾</w:t>
      </w:r>
      <w:r>
        <w:rPr>
          <w:color w:val="1A1A1A"/>
          <w:sz w:val="36"/>
          <w:szCs w:val="36"/>
        </w:rPr>
        <w:t xml:space="preserve">.</w:t>
      </w:r>
    </w:p>
    <w:p>
      <w:pPr>
        <w:spacing w:after="140" w:line="340" w:lineRule="auto"/>
        <w:jc w:val="both"/>
      </w:pPr>
      <w:r>
        <w:rPr>
          <w:color w:val="1A1A1A"/>
          <w:sz w:val="36"/>
          <w:szCs w:val="36"/>
        </w:rPr>
        <w:t xml:space="preserve">وهذا مالكٌ إمامُ دارِ الهجرةِ ﵀؛ جاءه رجلٌ في مسجدِ النبيِّ ﷺ فقال: يا أبا عبدِ الله، </w:t>
      </w:r>
      <w:r>
        <w:rPr>
          <w:b/>
          <w:bCs/>
          <w:color w:val="8A6A1F"/>
          <w:sz w:val="36"/>
          <w:szCs w:val="36"/>
        </w:rPr>
        <w:t xml:space="preserve">﴿الرَّحْمَٰنُ عَلَى الْعَرْشِ اسْتَوَىٰ﴾</w:t>
      </w:r>
      <w:r>
        <w:rPr>
          <w:color w:val="1A1A1A"/>
          <w:sz w:val="36"/>
          <w:szCs w:val="36"/>
        </w:rPr>
        <w:t xml:space="preserve"> ـ فكيف استوى؟ فأَطرَقَ مالكٌ حتى علاه الرُّحَضاء، ثم رفعَ رأسَه فقال:</w:t>
      </w:r>
    </w:p>
    <w:p>
      <w:pPr>
        <w:pBdr>
          <w:right w:val="single" w:sz="12" w:space="10" w:color="8A6A1F"/>
        </w:pBdr>
        <w:spacing w:before="120" w:after="160" w:line="320" w:lineRule="auto"/>
        <w:ind w:left="504" w:right="504"/>
        <w:jc w:val="both"/>
      </w:pPr>
      <w:r>
        <w:rPr>
          <w:b/>
          <w:bCs/>
          <w:color w:val="1F5C3A"/>
          <w:sz w:val="36"/>
          <w:szCs w:val="36"/>
        </w:rPr>
        <w:t xml:space="preserve">«الاستواءُ غيرُ مجهول، والكيفُ غيرُ معقول، والإيمانُ به واجب، والسؤالُ عنه بدعة؛ وما أُراك إلا مُبتدِعًا»</w:t>
      </w:r>
      <w:r>
        <w:rPr>
          <w:b/>
          <w:bCs/>
          <w:color w:val="1F5C3A"/>
          <w:sz w:val="36"/>
          <w:szCs w:val="36"/>
        </w:rPr>
        <w:t xml:space="preserve"> ـ وأمرَ به فأُخرِج</w:t>
      </w:r>
      <w:r>
        <w:rPr>
          <w:rStyle w:val="a5"/>
          <w:sz w:val="36"/>
          <w:szCs w:val="36"/>
        </w:rPr>
        <w:footnoteReference w:id="1"/>
      </w:r>
    </w:p>
    <w:p>
      <w:pPr>
        <w:spacing w:after="140" w:line="340" w:lineRule="auto"/>
        <w:jc w:val="both"/>
      </w:pPr>
      <w:r>
        <w:rPr>
          <w:color w:val="1A1A1A"/>
          <w:sz w:val="36"/>
          <w:szCs w:val="36"/>
        </w:rPr>
        <w:t xml:space="preserve">هكذا كان تعظيمُ السلفِ لصفاتِ ربِّهم.</w:t>
      </w:r>
    </w:p>
    <w:p>
      <w:pPr>
        <w:spacing w:before="260" w:after="120"/>
      </w:pPr>
      <w:r>
        <w:rPr>
          <w:b/>
          <w:bCs/>
          <w:color w:val="1F5C3A"/>
          <w:sz w:val="36"/>
          <w:szCs w:val="36"/>
        </w:rPr>
        <w:t xml:space="preserve">ثالثًا: أن تُعظِّمَ اسمَه ولا تُهينَه</w:t>
      </w:r>
    </w:p>
    <w:p>
      <w:pPr>
        <w:spacing w:after="140" w:line="340" w:lineRule="auto"/>
        <w:jc w:val="both"/>
      </w:pPr>
      <w:r>
        <w:rPr>
          <w:color w:val="1A1A1A"/>
          <w:sz w:val="36"/>
          <w:szCs w:val="36"/>
        </w:rPr>
        <w:t xml:space="preserve">فما عظَّمَ اللهَ من ألقى ورقةً فيها اسمُه في مكانٍ مُهان، ولا من ترَكَ كتُبَ ولدِه تُداس. وقد رأيتُ بعيني اسمَ اللهِ يُهانُ على اللوحاتِ والأوراق؛ وإنّا للهِ وإنّا إليه راجعون.</w:t>
      </w:r>
    </w:p>
    <w:p>
      <w:pPr>
        <w:spacing w:after="140" w:line="340" w:lineRule="auto"/>
        <w:jc w:val="both"/>
      </w:pPr>
      <w:r>
        <w:rPr>
          <w:color w:val="1A1A1A"/>
          <w:sz w:val="36"/>
          <w:szCs w:val="36"/>
        </w:rPr>
        <w:t xml:space="preserve">ويُروى في ترجمةِ **بِشرٍ الحافيِّ ﵀** أنه سُئل: بمَ نِلتَ هذه المنزلة؟ فقال: لا أعلمُ إلا أني كنتُ سائرًا في الطريقِ فوجدتُ رُقعةً فيها </w:t>
      </w:r>
      <w:r>
        <w:rPr>
          <w:b/>
          <w:bCs/>
          <w:color w:val="1F5C3A"/>
          <w:sz w:val="36"/>
          <w:szCs w:val="36"/>
        </w:rPr>
        <w:t xml:space="preserve">«بسم اللهِ الرحمنِ الرحيم»</w:t>
      </w:r>
      <w:r>
        <w:rPr>
          <w:color w:val="1A1A1A"/>
          <w:sz w:val="36"/>
          <w:szCs w:val="36"/>
        </w:rPr>
        <w:t xml:space="preserve"> وقد دِيسَتْ؛ فرفَعتُها ولم أملِكْ إلا درهمَين، فاشتريتُ بهما طِيبًا فطيَّبتُها ووضعتُها في موضعٍ طاهر. فرأيتُ في منامي قائلًا يقولُ لي: **</w:t>
      </w:r>
      <w:r>
        <w:rPr>
          <w:b/>
          <w:bCs/>
          <w:color w:val="1F5C3A"/>
          <w:sz w:val="36"/>
          <w:szCs w:val="36"/>
        </w:rPr>
        <w:t xml:space="preserve">«يا بِشر، طيَّبتَ اسمَنا لَنُطيِّبَنَّ اسمَك في الدنيا والآخرة»</w:t>
      </w:r>
      <w:r>
        <w:rPr>
          <w:color w:val="1A1A1A"/>
          <w:sz w:val="36"/>
          <w:szCs w:val="36"/>
        </w:rPr>
        <w:t xml:space="preserve">.**</w:t>
      </w:r>
      <w:r>
        <w:rPr>
          <w:rStyle w:val="a5"/>
          <w:sz w:val="36"/>
          <w:szCs w:val="36"/>
        </w:rPr>
        <w:footnoteReference w:id="2"/>
      </w:r>
    </w:p>
    <w:p>
      <w:pPr>
        <w:spacing w:after="140" w:line="340" w:lineRule="auto"/>
        <w:jc w:val="both"/>
      </w:pPr>
      <w:r>
        <w:rPr>
          <w:color w:val="1A1A1A"/>
          <w:sz w:val="36"/>
          <w:szCs w:val="36"/>
        </w:rPr>
        <w:t xml:space="preserve">فمن رامَ أن يُرفَعَ ذِكرُه فليُعظِّمْ اسمَ ربِّه.</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رابعًا: أن تُعظِّمَ شرعَه</w:t>
      </w:r>
    </w:p>
    <w:p>
      <w:pPr>
        <w:spacing w:after="140" w:line="340" w:lineRule="auto"/>
        <w:jc w:val="both"/>
      </w:pPr>
      <w:r>
        <w:rPr>
          <w:color w:val="1A1A1A"/>
          <w:sz w:val="36"/>
          <w:szCs w:val="36"/>
        </w:rPr>
        <w:t xml:space="preserve">فتُعظِّمَ الكتابَ والسنَّةَ وأوامرَ الله. فما عظَّمَ اللهَ من قدَّمَ عصبيَّةً جاهليةً أو عُرفًا أو رغبةَ مخلوقٍ على أمرِ الله؛ قال سبحانه:</w:t>
      </w:r>
    </w:p>
    <w:p>
      <w:pPr>
        <w:pBdr>
          <w:right w:val="single" w:sz="12" w:space="10" w:color="8A6A1F"/>
        </w:pBdr>
        <w:spacing w:before="120" w:after="160" w:line="320" w:lineRule="auto"/>
        <w:ind w:left="504" w:right="504"/>
        <w:jc w:val="both"/>
      </w:pPr>
      <w:r>
        <w:rPr>
          <w:b/>
          <w:bCs/>
          <w:color w:val="8A6A1F"/>
          <w:sz w:val="36"/>
          <w:szCs w:val="36"/>
        </w:rPr>
        <w:t xml:space="preserve">﴿فَلَا وَرَبِّكَ لَا يُؤْمِنُونَ حَتَّىٰ يُحَكِّمُوكَ فِيمَا شَجَرَ بَيْنَهُمْ ثُمَّ لَا يَجِدُوا فِي أَنفُسِهِمْ حَرَجًا مِّمَّا قَضَيْتَ وَيُسَلِّمُوا تَسْلِيمًا﴾</w:t>
      </w:r>
    </w:p>
    <w:p>
      <w:pPr>
        <w:spacing w:after="140" w:line="340" w:lineRule="auto"/>
        <w:jc w:val="both"/>
      </w:pPr>
      <w:r>
        <w:rPr>
          <w:color w:val="1A1A1A"/>
          <w:sz w:val="36"/>
          <w:szCs w:val="36"/>
        </w:rPr>
        <w:t xml:space="preserve">فأقسمَ اللهُ بنفسِه على نفيِ الإيمانِ عمَّن لم يُسلِّمْ لحُكمِه!</w:t>
      </w:r>
    </w:p>
    <w:p>
      <w:pPr>
        <w:spacing w:before="260" w:after="120"/>
      </w:pPr>
      <w:r>
        <w:rPr>
          <w:b/>
          <w:bCs/>
          <w:color w:val="1F5C3A"/>
          <w:sz w:val="36"/>
          <w:szCs w:val="36"/>
        </w:rPr>
        <w:t xml:space="preserve">خامسًا: أن تُعظِّمَ الأزمنةَ والأمكنةَ الفاضلة</w:t>
      </w:r>
    </w:p>
    <w:p>
      <w:pPr>
        <w:spacing w:after="140" w:line="340" w:lineRule="auto"/>
        <w:jc w:val="both"/>
      </w:pPr>
      <w:r>
        <w:rPr>
          <w:color w:val="1A1A1A"/>
          <w:sz w:val="36"/>
          <w:szCs w:val="36"/>
        </w:rPr>
        <w:t xml:space="preserve">فما عظَّمَ اللهَ من لم يُعظِّمْ يومَ الجمعةِ وعشرَ ذي الحجَّةِ ورمضان، ولا من غفَلَ عن ساعةِ الإجابة. وواللهِ إني أقيسُ تعظيمي وتعظيمَ الناسِ لشرعِ اللهِ في أوقاتِ الفضل: كان الناسُ يأتون الجمعةَ في البُكور، واليومَ يرقى الخطيبُ المنبرَ والناسُ يبيعون ويشترون!</w:t>
      </w:r>
    </w:p>
    <w:p>
      <w:pPr>
        <w:spacing w:after="140" w:line="340" w:lineRule="auto"/>
        <w:jc w:val="both"/>
      </w:pPr>
      <w:r>
        <w:rPr>
          <w:color w:val="1A1A1A"/>
          <w:sz w:val="36"/>
          <w:szCs w:val="36"/>
        </w:rPr>
        <w:t xml:space="preserve">وما عظَّمَ اللهَ من لم يُحافِظْ على نظافةِ بيوتِ الله وصيانتِها؛ فقد قال ﷺ:</w:t>
      </w:r>
    </w:p>
    <w:p>
      <w:pPr>
        <w:pBdr>
          <w:right w:val="single" w:sz="12" w:space="10" w:color="8A6A1F"/>
        </w:pBdr>
        <w:spacing w:before="120" w:after="160" w:line="320" w:lineRule="auto"/>
        <w:ind w:left="504" w:right="504"/>
        <w:jc w:val="both"/>
      </w:pPr>
      <w:r>
        <w:rPr>
          <w:b/>
          <w:bCs/>
          <w:color w:val="1F5C3A"/>
          <w:sz w:val="36"/>
          <w:szCs w:val="36"/>
        </w:rPr>
        <w:t xml:space="preserve">«إنّ هذه المساجدَ لا تصلُحُ لشيءٍ من هذا البولِ ولا القذَر؛ إنما هي لذِكرِ اللهِ ﷿ وقراءةِ القرآن»</w:t>
      </w:r>
      <w:r>
        <w:rPr>
          <w:rStyle w:val="a5"/>
          <w:sz w:val="36"/>
          <w:szCs w:val="36"/>
        </w:rPr>
        <w:footnoteReference w:id="3"/>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فيحتاجُ الواحدُ منّا أن يُراجِعَ تعظيمَه لشعائرِ الله؛ فإن كان مُعظِّمًا فليَحمَدِ اللهَ وليَبشُرْ بقولِه:</w:t>
      </w:r>
    </w:p>
    <w:p>
      <w:pPr>
        <w:pBdr>
          <w:right w:val="single" w:sz="12" w:space="10" w:color="8A6A1F"/>
        </w:pBdr>
        <w:spacing w:before="120" w:after="160" w:line="320" w:lineRule="auto"/>
        <w:ind w:left="504" w:right="504"/>
        <w:jc w:val="both"/>
      </w:pPr>
      <w:r>
        <w:rPr>
          <w:b/>
          <w:bCs/>
          <w:color w:val="8A6A1F"/>
          <w:sz w:val="36"/>
          <w:szCs w:val="36"/>
        </w:rPr>
        <w:t xml:space="preserve">﴿ذَٰلِكَ ۖ وَمَن يُعَظِّمْ شَعَائِرَ اللَّهِ فَإِنَّهَا مِن تَقْوَى الْقُلُوبِ﴾</w:t>
      </w:r>
    </w:p>
    <w:p>
      <w:pPr>
        <w:spacing w:after="140" w:line="340" w:lineRule="auto"/>
        <w:jc w:val="both"/>
      </w:pPr>
      <w:r>
        <w:rPr>
          <w:color w:val="1A1A1A"/>
          <w:sz w:val="36"/>
          <w:szCs w:val="36"/>
        </w:rPr>
        <w:t xml:space="preserve">وإن لم يكُنْ كذلك فليُراجِعْ نفسَه.</w:t>
      </w:r>
    </w:p>
    <w:p>
      <w:pPr>
        <w:spacing w:after="140" w:line="340" w:lineRule="auto"/>
        <w:jc w:val="both"/>
      </w:pPr>
      <w:r>
        <w:rPr>
          <w:color w:val="1A1A1A"/>
          <w:sz w:val="36"/>
          <w:szCs w:val="36"/>
        </w:rPr>
        <w:t xml:space="preserve">أسألُ اللهَ العظيمَ ربَّ العرشِ العظيمِ أن يجعلَني وإياكم ممَّن يُعظِّمون اللهَ ودينَه وشرعَه؛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مشهورٌ عن الإمام مالكٍ ﵀؛ رواه اللالكائيُّ في «شرح أصول الاعتقاد» والبيهقيُّ في «الأسماء والصفات»، ويُروى نحوُه عن أمِّ سلمةَ ﵂ ورَبيعةَ شيخِ مالك.</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بِشرٍ الحافيِّ ﵀؛ ذكرَها أبو نُعيمٍ في «الحلية» والخطيبُ في «تاريخ بغداد»، وهي من حكاياتِ الزهدِ التي تُذكَرُ للاعتبار.</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أنس بن مالك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