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الهجرةُ النبوية: عِظاتٌ وعِبَر</w:t>
      </w:r>
    </w:p>
    <w:p>
      <w:pPr>
        <w:spacing w:after="120"/>
      </w:pPr>
      <w:r>
        <w:rPr>
          <w:color w:val="8A6A1F"/>
          <w:sz w:val="36"/>
          <w:szCs w:val="36"/>
        </w:rPr>
        <w:t xml:space="preserve">أربعُ عِظاتٍ علَّمَتْنيها الهجرة</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وداعُ مكة</w:t>
      </w:r>
    </w:p>
    <w:p>
      <w:pPr>
        <w:spacing w:after="140" w:line="340" w:lineRule="auto"/>
        <w:jc w:val="both"/>
      </w:pPr>
      <w:r>
        <w:rPr>
          <w:color w:val="1A1A1A"/>
          <w:sz w:val="36"/>
          <w:szCs w:val="36"/>
        </w:rPr>
        <w:t xml:space="preserve">وبعدُ، أحبَّتي في الله، معاشرَ المصلِّين: تشتَدُّ حرارةُ الشمسِ في بَطحاءِ مكةَ ويشتَدُّ معها الأذى على قِلَّةٍ من الموحِّدين. وكأنّي بصوتِ ورَقةَ بنِ نوفلٍ يترَدَّدُ في الآفاق: **</w:t>
      </w:r>
      <w:r>
        <w:rPr>
          <w:b/>
          <w:bCs/>
          <w:color w:val="1F5C3A"/>
          <w:sz w:val="36"/>
          <w:szCs w:val="36"/>
        </w:rPr>
        <w:t xml:space="preserve">«يا ليتَني فيها جَذَعًا إذ يُخرِجُك قومُك»</w:t>
      </w:r>
      <w:r>
        <w:rPr>
          <w:color w:val="1A1A1A"/>
          <w:sz w:val="36"/>
          <w:szCs w:val="36"/>
        </w:rPr>
        <w:t xml:space="preserve">**؛ فقال ﷺ: </w:t>
      </w:r>
      <w:r>
        <w:rPr>
          <w:b/>
          <w:bCs/>
          <w:color w:val="1F5C3A"/>
          <w:sz w:val="36"/>
          <w:szCs w:val="36"/>
        </w:rPr>
        <w:t xml:space="preserve">«أَوَمُخرِجيَّ هم؟»</w:t>
      </w:r>
      <w:r>
        <w:rPr>
          <w:color w:val="1A1A1A"/>
          <w:sz w:val="36"/>
          <w:szCs w:val="36"/>
        </w:rPr>
        <w:t xml:space="preserve"> قال: **</w:t>
      </w:r>
      <w:r>
        <w:rPr>
          <w:b/>
          <w:bCs/>
          <w:color w:val="1F5C3A"/>
          <w:sz w:val="36"/>
          <w:szCs w:val="36"/>
        </w:rPr>
        <w:t xml:space="preserve">«نعم؛ لم يأتِ رجلٌ قطُّ بمثلِ ما جِئتَ به إلا عُوديَ»</w:t>
      </w:r>
      <w:r>
        <w:rPr>
          <w:color w:val="1A1A1A"/>
          <w:sz w:val="36"/>
          <w:szCs w:val="36"/>
        </w:rPr>
        <w:t xml:space="preserve">**.</w:t>
      </w:r>
      <w:r>
        <w:rPr>
          <w:rStyle w:val="a5"/>
          <w:sz w:val="36"/>
          <w:szCs w:val="36"/>
        </w:rPr>
        <w:footnoteReference w:id="1"/>
      </w:r>
    </w:p>
    <w:p>
      <w:pPr>
        <w:spacing w:after="140" w:line="340" w:lineRule="auto"/>
        <w:jc w:val="both"/>
      </w:pPr>
      <w:r>
        <w:rPr>
          <w:color w:val="1A1A1A"/>
          <w:sz w:val="36"/>
          <w:szCs w:val="36"/>
        </w:rPr>
        <w:t xml:space="preserve">ثم يأذَنُ اللهُ بالهجرة، فتتأهَّبُ قوافلُ الموحِّدين تاركين أحبَّ البِقاعِ إلى الله. ويقِفُ رسولُ اللهِ ﷺ يُودِّعُ مكةَ فيقول:</w:t>
      </w:r>
    </w:p>
    <w:p>
      <w:pPr>
        <w:pBdr>
          <w:right w:val="single" w:sz="12" w:space="10" w:color="8A6A1F"/>
        </w:pBdr>
        <w:spacing w:before="120" w:after="160" w:line="320" w:lineRule="auto"/>
        <w:ind w:left="504" w:right="504"/>
        <w:jc w:val="both"/>
      </w:pPr>
      <w:r>
        <w:rPr>
          <w:b/>
          <w:bCs/>
          <w:color w:val="1F5C3A"/>
          <w:sz w:val="36"/>
          <w:szCs w:val="36"/>
        </w:rPr>
        <w:t xml:space="preserve">«واللهِ إنكِ لَخيرُ أرضِ اللهِ وأحَبُّ أرضِ اللهِ إلى الله؛ ولولا أني أُخرِجتُ منكِ ما خرجت»</w:t>
      </w:r>
      <w:r>
        <w:rPr>
          <w:rStyle w:val="a5"/>
          <w:sz w:val="36"/>
          <w:szCs w:val="36"/>
        </w:rPr>
        <w:footnoteReference w:id="2"/>
      </w:r>
    </w:p>
    <w:p>
      <w:pPr>
        <w:spacing w:after="140" w:line="340" w:lineRule="auto"/>
        <w:jc w:val="both"/>
      </w:pPr>
      <w:r>
        <w:rPr>
          <w:color w:val="1A1A1A"/>
          <w:sz w:val="36"/>
          <w:szCs w:val="36"/>
        </w:rPr>
        <w:t xml:space="preserve">ولن أسرُدَ عليكم أحداثًا تاريخيةً تعرِفونها؛ ولكنّي أَقطِفُ منها عِظاتٍ وعِبَرًا.</w:t>
      </w:r>
    </w:p>
    <w:p>
      <w:pPr>
        <w:spacing w:before="260" w:after="120"/>
      </w:pPr>
      <w:r>
        <w:rPr>
          <w:b/>
          <w:bCs/>
          <w:color w:val="1F5C3A"/>
          <w:sz w:val="36"/>
          <w:szCs w:val="36"/>
        </w:rPr>
        <w:t xml:space="preserve">أولًا: طريقُ الحقِّ شاقٌّ يحتاجُ إلى تضحية</w:t>
      </w:r>
    </w:p>
    <w:p>
      <w:pPr>
        <w:spacing w:after="140" w:line="340" w:lineRule="auto"/>
        <w:jc w:val="both"/>
      </w:pPr>
      <w:r>
        <w:rPr>
          <w:color w:val="1A1A1A"/>
          <w:sz w:val="36"/>
          <w:szCs w:val="36"/>
        </w:rPr>
        <w:t xml:space="preserve">فهجرُك للشِّركِ إلى التوحيد، وللبدعةِ إلى السنَّة، وللمعصيةِ إلى الطاعة ـ كلُّ ذلك هجرةٌ تستشعِرُ فيها جَمرَ الغُربة. وقد قال ﷺ:</w:t>
      </w:r>
    </w:p>
    <w:p>
      <w:pPr>
        <w:pBdr>
          <w:right w:val="single" w:sz="12" w:space="10" w:color="8A6A1F"/>
        </w:pBdr>
        <w:spacing w:before="120" w:after="160" w:line="320" w:lineRule="auto"/>
        <w:ind w:left="504" w:right="504"/>
        <w:jc w:val="both"/>
      </w:pPr>
      <w:r>
        <w:rPr>
          <w:b/>
          <w:bCs/>
          <w:color w:val="1F5C3A"/>
          <w:sz w:val="36"/>
          <w:szCs w:val="36"/>
        </w:rPr>
        <w:t xml:space="preserve">«والمُهاجِرُ من هجَرَ ما نهى اللهُ عنه»</w:t>
      </w:r>
      <w:r>
        <w:rPr>
          <w:rStyle w:val="a5"/>
          <w:sz w:val="36"/>
          <w:szCs w:val="36"/>
        </w:rPr>
        <w:footnoteReference w:id="3"/>
      </w:r>
    </w:p>
    <w:p>
      <w:pPr>
        <w:spacing w:after="140" w:line="340" w:lineRule="auto"/>
        <w:jc w:val="both"/>
      </w:pPr>
      <w:r>
        <w:rPr>
          <w:color w:val="1A1A1A"/>
          <w:sz w:val="36"/>
          <w:szCs w:val="36"/>
        </w:rPr>
        <w:t xml:space="preserve">فهذا الطريقُ يحتاجُ إلى رجالٍ يقومون فيه بواجبِ الهجرة.</w:t>
      </w:r>
    </w:p>
    <w:p>
      <w:pPr>
        <w:spacing w:before="260" w:after="120"/>
      </w:pPr>
      <w:r>
        <w:rPr>
          <w:b/>
          <w:bCs/>
          <w:color w:val="1F5C3A"/>
          <w:sz w:val="36"/>
          <w:szCs w:val="36"/>
        </w:rPr>
        <w:t xml:space="preserve">ثانيًا: التوحيدُ لا يقبَلُ التنازُلات</w:t>
      </w:r>
    </w:p>
    <w:p>
      <w:pPr>
        <w:spacing w:after="140" w:line="340" w:lineRule="auto"/>
        <w:jc w:val="both"/>
      </w:pPr>
      <w:r>
        <w:rPr>
          <w:color w:val="1A1A1A"/>
          <w:sz w:val="36"/>
          <w:szCs w:val="36"/>
        </w:rPr>
        <w:t xml:space="preserve">فتأمَّلوا كيف لم يتنازَلْ ﷺ عن توحيدِه طرفةَ عين، ولا تخلّى صحابتُه عن دينِهم؛ ترَكوا الدارَ والمالَ والأهلَ في سبيلِ التوحيد.</w:t>
      </w:r>
    </w:p>
    <w:p>
      <w:pPr>
        <w:spacing w:after="140" w:line="340" w:lineRule="auto"/>
        <w:jc w:val="both"/>
      </w:pPr>
      <w:r>
        <w:rPr>
          <w:color w:val="1A1A1A"/>
          <w:sz w:val="36"/>
          <w:szCs w:val="36"/>
        </w:rPr>
        <w:t xml:space="preserve">وهذا **صُهَيبٌ الروميُّ ﵁**؛ كان من أثرياءِ مكة، فلمّا أرادَ الهجرةَ تبِعَه فِتيانٌ من قريش. فنثَرَ سِهامَه بين يديه وقال: يا معشرَ قريش، تعلَمون أني من أرماكم رجلًا؛ واللهِ لا تصِلون إليَّ حتى أرميَ بكلِّ سهمٍ في كِنانتي ثم أضرِبَكم بسيفي ما بقيَ في يدي منه شيء! فإن شئتُم دلَلتُكم على مالي بمكةَ وخلَّيتُم سبيلي. قالوا: نعم. فدلَّهم عليه. فلمّا قدِمَ على النبيِّ ﷺ ـ وقد سبَقَه الوحيُ ـ قال:</w:t>
      </w:r>
    </w:p>
    <w:p>
      <w:pPr>
        <w:pBdr>
          <w:right w:val="single" w:sz="12" w:space="10" w:color="8A6A1F"/>
        </w:pBdr>
        <w:spacing w:before="120" w:after="160" w:line="320" w:lineRule="auto"/>
        <w:ind w:left="504" w:right="504"/>
        <w:jc w:val="both"/>
      </w:pPr>
      <w:r>
        <w:rPr>
          <w:b/>
          <w:bCs/>
          <w:color w:val="1F5C3A"/>
          <w:sz w:val="36"/>
          <w:szCs w:val="36"/>
        </w:rPr>
        <w:t xml:space="preserve">«رَبِحَ البيعُ أبا يحيى! رَبِحَ البيعُ أبا يحيى»</w:t>
      </w:r>
    </w:p>
    <w:p>
      <w:pPr>
        <w:spacing w:after="140" w:line="340" w:lineRule="auto"/>
        <w:jc w:val="both"/>
      </w:pPr>
      <w:r>
        <w:rPr>
          <w:color w:val="1A1A1A"/>
          <w:sz w:val="36"/>
          <w:szCs w:val="36"/>
        </w:rPr>
        <w:t xml:space="preserve">وتلا: </w:t>
      </w:r>
      <w:r>
        <w:rPr>
          <w:b/>
          <w:bCs/>
          <w:color w:val="8A6A1F"/>
          <w:sz w:val="36"/>
          <w:szCs w:val="36"/>
        </w:rPr>
        <w:t xml:space="preserve">﴿وَمِنَ النَّاسِ مَن يَشْرِي نَفْسَهُ ابْتِغَاءَ مَرْضَاتِ اللَّهِ ۗ وَاللَّهُ رَءُوفٌ بِالْعِبَادِ﴾</w:t>
      </w:r>
      <w:r>
        <w:rPr>
          <w:color w:val="1A1A1A"/>
          <w:sz w:val="36"/>
          <w:szCs w:val="36"/>
        </w:rPr>
        <w:t xml:space="preserve">.</w:t>
      </w:r>
      <w:r>
        <w:rPr>
          <w:rStyle w:val="a5"/>
          <w:sz w:val="36"/>
          <w:szCs w:val="36"/>
        </w:rPr>
        <w:footnoteReference w:id="4"/>
      </w:r>
    </w:p>
    <w:p>
      <w:pPr>
        <w:spacing w:after="140" w:line="340" w:lineRule="auto"/>
        <w:jc w:val="both"/>
      </w:pPr>
      <w:r>
        <w:rPr>
          <w:color w:val="1A1A1A"/>
          <w:sz w:val="36"/>
          <w:szCs w:val="36"/>
        </w:rPr>
        <w:t xml:space="preserve">فقُلْ لي: بأيِّ وجهٍ تلقى اللهَ إن بِعتَ دينَك بدنيا لن تُغادِرَها ولك فيها شربةُ ماء؟</w:t>
      </w:r>
    </w:p>
    <w:p>
      <w:pPr>
        <w:spacing w:before="260" w:after="120"/>
      </w:pPr>
      <w:r>
        <w:rPr>
          <w:b/>
          <w:bCs/>
          <w:color w:val="1F5C3A"/>
          <w:sz w:val="36"/>
          <w:szCs w:val="36"/>
        </w:rPr>
        <w:t xml:space="preserve">ثالثًا: أهلُ الحقِّ يُبتَلَون</w:t>
      </w:r>
    </w:p>
    <w:p>
      <w:pPr>
        <w:spacing w:after="140" w:line="340" w:lineRule="auto"/>
        <w:jc w:val="both"/>
      </w:pPr>
      <w:r>
        <w:rPr>
          <w:color w:val="1A1A1A"/>
          <w:sz w:val="36"/>
          <w:szCs w:val="36"/>
        </w:rPr>
        <w:t xml:space="preserve">فقد أُخرِجَ ﷺ من مكةَ ثم عادَ إليها عزيزًا مُنتصِرًا. فيا كلَّ مُبتلًى في دينِه ودارِه: **الصبرَ الصبر**؛ فإنّ العاقبةَ للمتقين: </w:t>
      </w:r>
      <w:r>
        <w:rPr>
          <w:b/>
          <w:bCs/>
          <w:color w:val="8A6A1F"/>
          <w:sz w:val="36"/>
          <w:szCs w:val="36"/>
        </w:rPr>
        <w:t xml:space="preserve">﴿وَالْعَاقِبَةُ لِلْمُتَّقِينَ﴾</w:t>
      </w:r>
      <w:r>
        <w:rPr>
          <w:color w:val="1A1A1A"/>
          <w:sz w:val="36"/>
          <w:szCs w:val="36"/>
        </w:rPr>
        <w:t xml:space="preserve">.</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أحبَّتي في الله:</w:t>
      </w:r>
    </w:p>
    <w:p>
      <w:pPr>
        <w:spacing w:before="260" w:after="120"/>
      </w:pPr>
      <w:r>
        <w:rPr>
          <w:b/>
          <w:bCs/>
          <w:color w:val="1F5C3A"/>
          <w:sz w:val="36"/>
          <w:szCs w:val="36"/>
        </w:rPr>
        <w:t xml:space="preserve">رابعًا: إن لم تكُنْ مُهاجِرًا فكُنْ من الأنصار</w:t>
      </w:r>
    </w:p>
    <w:p>
      <w:pPr>
        <w:spacing w:after="140" w:line="340" w:lineRule="auto"/>
        <w:jc w:val="both"/>
      </w:pPr>
      <w:r>
        <w:rPr>
          <w:color w:val="1A1A1A"/>
          <w:sz w:val="36"/>
          <w:szCs w:val="36"/>
        </w:rPr>
        <w:t xml:space="preserve">فإنّ الحقَّ يحتاجُ إلى رجالٍ وأعوان. فقد أثنى اللهُ على الفريقَين معًا:</w:t>
      </w:r>
    </w:p>
    <w:p>
      <w:pPr>
        <w:pBdr>
          <w:right w:val="single" w:sz="12" w:space="10" w:color="8A6A1F"/>
        </w:pBdr>
        <w:spacing w:before="120" w:after="160" w:line="320" w:lineRule="auto"/>
        <w:ind w:left="504" w:right="504"/>
        <w:jc w:val="both"/>
      </w:pPr>
      <w:r>
        <w:rPr>
          <w:b/>
          <w:bCs/>
          <w:color w:val="8A6A1F"/>
          <w:sz w:val="36"/>
          <w:szCs w:val="36"/>
        </w:rPr>
        <w:t xml:space="preserve">﴿لِلْفُقَرَاءِ الْمُهَاجِرِينَ الَّذِينَ أُخْرِجُوا مِن دِيَارِهِمْ وَأَمْوَالِهِمْ... وَالَّذِينَ تَبَوَّءُوا الدَّارَ وَالْإِيمَانَ مِن قَبْلِهِمْ يُحِبُّونَ مَنْ هَاجَرَ إِلَيْهِمْ﴾</w:t>
      </w:r>
    </w:p>
    <w:p>
      <w:pPr>
        <w:spacing w:after="140" w:line="340" w:lineRule="auto"/>
        <w:jc w:val="both"/>
      </w:pPr>
      <w:r>
        <w:rPr>
          <w:color w:val="1A1A1A"/>
          <w:sz w:val="36"/>
          <w:szCs w:val="36"/>
        </w:rPr>
        <w:t xml:space="preserve">فإن لم تكُنْ في الصفِّ الأول، فكُنْ من المُعينين: بدُعائِك، وبمالِك، وبنُصرةِ الحقِّ بلسانِك وقلمِك، وبإصلاحِ نفسِك وبيتِك؛ فإنّ هذا كلَّه نُصرةٌ لدينِ الله.</w:t>
      </w:r>
    </w:p>
    <w:p>
      <w:pPr>
        <w:spacing w:before="260" w:after="120"/>
      </w:pPr>
      <w:r>
        <w:rPr>
          <w:b/>
          <w:bCs/>
          <w:color w:val="1F5C3A"/>
          <w:sz w:val="36"/>
          <w:szCs w:val="36"/>
        </w:rPr>
        <w:t xml:space="preserve">خامسًا: صِدقُ النيَّةِ يُبلِّغُ ما لا تُبلِّغُه الأقدام</w:t>
      </w:r>
    </w:p>
    <w:p>
      <w:pPr>
        <w:spacing w:after="140" w:line="340" w:lineRule="auto"/>
        <w:jc w:val="both"/>
      </w:pPr>
      <w:r>
        <w:rPr>
          <w:color w:val="1A1A1A"/>
          <w:sz w:val="36"/>
          <w:szCs w:val="36"/>
        </w:rPr>
        <w:t xml:space="preserve">قال ﷺ في الحديثِ المتفقِ عليه:</w:t>
      </w:r>
    </w:p>
    <w:p>
      <w:pPr>
        <w:pBdr>
          <w:right w:val="single" w:sz="12" w:space="10" w:color="8A6A1F"/>
        </w:pBdr>
        <w:spacing w:before="120" w:after="160" w:line="320" w:lineRule="auto"/>
        <w:ind w:left="504" w:right="504"/>
        <w:jc w:val="both"/>
      </w:pPr>
      <w:r>
        <w:rPr>
          <w:b/>
          <w:bCs/>
          <w:color w:val="1F5C3A"/>
          <w:sz w:val="36"/>
          <w:szCs w:val="36"/>
        </w:rPr>
        <w:t xml:space="preserve">«إنما الأعمالُ بالنيّات، وإنما لكلِّ امرئٍ ما نوى؛ فمن كانت هجرتُه إلى اللهِ ورسولِه فهجرتُه إلى اللهِ ورسولِه، ومن كانت هجرتُه لدُنيا يُصيبُها أو امرأةٍ ينكِحُها فهجرتُه إلى ما هاجرَ إليه»</w:t>
      </w:r>
      <w:r>
        <w:rPr>
          <w:rStyle w:val="a5"/>
          <w:sz w:val="36"/>
          <w:szCs w:val="36"/>
        </w:rPr>
        <w:footnoteReference w:id="5"/>
      </w:r>
    </w:p>
    <w:p>
      <w:pPr>
        <w:spacing w:after="140" w:line="340" w:lineRule="auto"/>
        <w:jc w:val="both"/>
      </w:pPr>
      <w:r>
        <w:rPr>
          <w:color w:val="1A1A1A"/>
          <w:sz w:val="36"/>
          <w:szCs w:val="36"/>
        </w:rPr>
        <w:t xml:space="preserve">فقد لا يقوى الإنسانُ على فعلِ الخير؛ فاحرِصْ أن تنويَه بصدق. وقد ذكرَ المفسِّرون في سببِ نزولِ قولِه تعالى:</w:t>
      </w:r>
    </w:p>
    <w:p>
      <w:pPr>
        <w:pBdr>
          <w:right w:val="single" w:sz="12" w:space="10" w:color="8A6A1F"/>
        </w:pBdr>
        <w:spacing w:before="120" w:after="160" w:line="320" w:lineRule="auto"/>
        <w:ind w:left="504" w:right="504"/>
        <w:jc w:val="both"/>
      </w:pPr>
      <w:r>
        <w:rPr>
          <w:b/>
          <w:bCs/>
          <w:color w:val="8A6A1F"/>
          <w:sz w:val="36"/>
          <w:szCs w:val="36"/>
        </w:rPr>
        <w:t xml:space="preserve">﴿وَمَن يَخْرُجْ مِن بَيْتِهِ مُهَاجِرًا إِلَى اللَّهِ وَرَسُولِهِ ثُمَّ يُدْرِكْهُ الْمَوْتُ فَقَدْ وَقَعَ أَجْرُهُ عَلَى اللَّهِ﴾</w:t>
      </w:r>
    </w:p>
    <w:p>
      <w:pPr>
        <w:spacing w:after="140" w:line="340" w:lineRule="auto"/>
        <w:jc w:val="both"/>
      </w:pPr>
      <w:r>
        <w:rPr>
          <w:color w:val="1A1A1A"/>
          <w:sz w:val="36"/>
          <w:szCs w:val="36"/>
        </w:rPr>
        <w:t xml:space="preserve">أنها نزلَتْ في رجلٍ شيخٍ كبيرٍ من المسلمين؛ لم يصبِرْ على البقاءِ بمكةَ فأمرَ بنيه أن يحمِلوه على فِراشِه ويُخرِجوه. فلمّا بلغَ </w:t>
      </w:r>
      <w:r>
        <w:rPr>
          <w:b/>
          <w:bCs/>
          <w:color w:val="1F5C3A"/>
          <w:sz w:val="36"/>
          <w:szCs w:val="36"/>
        </w:rPr>
        <w:t xml:space="preserve">«التَّنعيم»</w:t>
      </w:r>
      <w:r>
        <w:rPr>
          <w:color w:val="1A1A1A"/>
          <w:sz w:val="36"/>
          <w:szCs w:val="36"/>
        </w:rPr>
        <w:t xml:space="preserve"> أدركَتْه الوفاة؛ فصفَّقَ بيمينِه على شِمالِه وقال: **</w:t>
      </w:r>
      <w:r>
        <w:rPr>
          <w:b/>
          <w:bCs/>
          <w:color w:val="1F5C3A"/>
          <w:sz w:val="36"/>
          <w:szCs w:val="36"/>
        </w:rPr>
        <w:t xml:space="preserve">«اللهم هذه لك وهذه لرسولِك؛ أُبايِعُك على ما بايعَك عليه رسولُك»</w:t>
      </w:r>
      <w:r>
        <w:rPr>
          <w:color w:val="1A1A1A"/>
          <w:sz w:val="36"/>
          <w:szCs w:val="36"/>
        </w:rPr>
        <w:t xml:space="preserve">**. فماتَ فبلغَ أصحابَ النبيِّ ﷺ خبَرُه، فأنزلَ اللهُ فيه الآية.</w:t>
      </w:r>
      <w:r>
        <w:rPr>
          <w:rStyle w:val="a5"/>
          <w:sz w:val="36"/>
          <w:szCs w:val="36"/>
        </w:rPr>
        <w:footnoteReference w:id="6"/>
      </w:r>
    </w:p>
    <w:p>
      <w:pPr>
        <w:spacing w:after="140" w:line="340" w:lineRule="auto"/>
        <w:jc w:val="both"/>
      </w:pPr>
      <w:r>
        <w:rPr>
          <w:color w:val="1A1A1A"/>
          <w:sz w:val="36"/>
          <w:szCs w:val="36"/>
        </w:rPr>
        <w:t xml:space="preserve">ولذلك قال ابنُ القيِّمِ ﵀:</w:t>
      </w:r>
    </w:p>
    <w:p>
      <w:pPr>
        <w:pBdr>
          <w:right w:val="single" w:sz="12" w:space="10" w:color="8A6A1F"/>
        </w:pBdr>
        <w:spacing w:before="120" w:after="160" w:line="320" w:lineRule="auto"/>
        <w:ind w:left="504" w:right="504"/>
        <w:jc w:val="both"/>
      </w:pPr>
      <w:r>
        <w:rPr>
          <w:b/>
          <w:bCs/>
          <w:color w:val="1F5C3A"/>
          <w:sz w:val="36"/>
          <w:szCs w:val="36"/>
        </w:rPr>
        <w:t xml:space="preserve">يا هجرةً والعبدُ فوق فِراشِه ... سبَقَ السُّعاةَ لمنزِلِ الرِّضوانِ</w:t>
      </w:r>
    </w:p>
    <w:p>
      <w:pPr>
        <w:spacing w:after="140" w:line="340" w:lineRule="auto"/>
        <w:jc w:val="both"/>
      </w:pPr>
      <w:r>
        <w:rPr>
          <w:color w:val="1A1A1A"/>
          <w:sz w:val="36"/>
          <w:szCs w:val="36"/>
        </w:rPr>
        <w:t xml:space="preserve">فانوِ الخيرَ واقصِدْ ما عند الله؛ فقد لا تقوى على البذلِ ولكنّ اللهَ يقبَلُ منك النيَّة.</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أسألُ اللهَ العظيمَ ربَّ العرشِ العظيمِ أن يُلحِقَنا بنبيِّه ﷺ وصحابتِه الكرامِ في الفردوسِ الأعلى، وأن يُرِيَنا عِزَّ الإسلامِ والمسلمين؛ إنه وليُّ ذلك والقادرُ عليه.</w:t>
      </w:r>
    </w:p>
    <w:p>
      <w:pPr>
        <w:spacing w:after="140" w:line="340" w:lineRule="auto"/>
        <w:jc w:val="both"/>
      </w:pPr>
      <w:r>
        <w:rPr>
          <w:color w:val="1A1A1A"/>
          <w:sz w:val="36"/>
          <w:szCs w:val="36"/>
        </w:rPr>
        <w:t xml:space="preserve">اللهم اغفِرْ للمسلمين والمسلمات، الأحياءِ منهم والأموات. اللهم آمِنّا في أوطانِنا، وأصلِحْ وُلاةَ أمورِنا ووفِّقْهم، واجعَلْ هذا البلدَ آمنًا مطمئنًّا وسائرَ بلادِ المسلمين.</w:t>
      </w:r>
    </w:p>
    <w:p>
      <w:pPr>
        <w:spacing w:after="140" w:line="340" w:lineRule="auto"/>
        <w:jc w:val="both"/>
      </w:pPr>
      <w:r>
        <w:rPr>
          <w:color w:val="1A1A1A"/>
          <w:sz w:val="36"/>
          <w:szCs w:val="36"/>
        </w:rPr>
        <w:t xml:space="preserve">اللهم كُنْ مع إخوانِنا المستضعَفين؛ أَنزِلْ عليهم الثباتَ والصبر، وفرِّجْ كُرَبَهم. اللهم مُنزِلَ الكتاب، مُجرِيَ السحاب، هازمَ الأحزاب: اهزِمْ من اعتدى عليهم وانصُرْنا عليهم.</w:t>
      </w:r>
      <w:r>
        <w:rPr>
          <w:rStyle w:val="a5"/>
          <w:sz w:val="36"/>
          <w:szCs w:val="36"/>
        </w:rPr>
        <w:footnoteReference w:id="7"/>
      </w:r>
      <w:r>
        <w:rPr>
          <w:color w:val="1A1A1A"/>
          <w:sz w:val="36"/>
          <w:szCs w:val="36"/>
        </w:rPr>
        <w:t xml:space="preserve"> ربَّنا آتِنا في الدنيا حسنةً وفي الآخرةِ حسنةً وقِنا عذابَ النار. وآخِرُ دعوانا أنِ الحمدُ للهِ ربِّ العالمين.</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عائشة ﵂ في بدءِ الوحي.</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وابنُ ماجه وأحمدُ من حديث عبد الله بن عَدِيِّ بنِ الحمراء ﵁، وصححه الألباني.</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عبد الله بن عمرو ﵄.</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ابنُ حبان والحاكمُ من حديث صُهَيبٍ ﵁، وصححه الألباني. وذكرَه ابنُ إسحاقَ في «السيرة».</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عمر بن الخطاب ﵁.</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سببُ نزولِ الآية؛ ذكرَه الطبريُّ وابنُ أبي حاتمٍ وابنُ كثيرٍ في تفسيرِ سورةِ النساء، ويُروى في اسمِ الرجلِ خلاف.</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عبد الله بن أبي أوفى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