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قيامُ الليل</w:t>
      </w:r>
    </w:p>
    <w:p>
      <w:pPr>
        <w:spacing w:after="120"/>
      </w:pPr>
      <w:r>
        <w:rPr>
          <w:color w:val="8A6A1F"/>
          <w:sz w:val="36"/>
          <w:szCs w:val="36"/>
        </w:rPr>
        <w:t xml:space="preserve">فضائلُه، وكيف تُربِّي نفسَك عليه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السَّهَرُ الإيماني</w:t>
      </w:r>
    </w:p>
    <w:p>
      <w:pPr>
        <w:spacing w:after="140" w:line="340" w:lineRule="auto"/>
        <w:jc w:val="both"/>
      </w:pPr>
      <w:r>
        <w:rPr>
          <w:color w:val="1A1A1A"/>
          <w:sz w:val="36"/>
          <w:szCs w:val="36"/>
        </w:rPr>
        <w:t xml:space="preserve">وبعدُ، أحبَّتي في الله، معاشرَ المصلِّين: هل سمعتم بالسَّهَرِ الإيماني؟ ليس سهرًا في مُراسَلةِ محبوب، ولا خلفَ الشاشات، ولا تسكُّعًا في الدروب.</w:t>
      </w:r>
    </w:p>
    <w:p>
      <w:pPr>
        <w:spacing w:after="140" w:line="340" w:lineRule="auto"/>
        <w:jc w:val="both"/>
      </w:pPr>
      <w:r>
        <w:rPr>
          <w:color w:val="1A1A1A"/>
          <w:sz w:val="36"/>
          <w:szCs w:val="36"/>
        </w:rPr>
        <w:t xml:space="preserve">إنه سهرٌ من نوعٍ آخَر: **قيامُ الليل**؛ ذلكم السَّهَرُ الذي ضيَّعَتْه جموعٌ غفيرةٌ من المسلمين، وما ذاك إلا لجهلِهم بفضلِه.</w:t>
      </w:r>
    </w:p>
    <w:p>
      <w:pPr>
        <w:spacing w:after="140" w:line="340" w:lineRule="auto"/>
        <w:jc w:val="both"/>
      </w:pPr>
      <w:r>
        <w:rPr>
          <w:color w:val="1A1A1A"/>
          <w:sz w:val="36"/>
          <w:szCs w:val="36"/>
        </w:rPr>
        <w:t xml:space="preserve">فحديثي عن فضائلِه، وكيف تُربِّي نفسَك عليه.</w:t>
      </w:r>
    </w:p>
    <w:p>
      <w:pPr>
        <w:spacing w:before="260" w:after="120"/>
      </w:pPr>
      <w:r>
        <w:rPr>
          <w:b/>
          <w:bCs/>
          <w:color w:val="1F5C3A"/>
          <w:sz w:val="36"/>
          <w:szCs w:val="36"/>
        </w:rPr>
        <w:t xml:space="preserve">أولًا: فضائلُ قيامِ الليل</w:t>
      </w:r>
    </w:p>
    <w:p>
      <w:pPr>
        <w:spacing w:before="200" w:after="100"/>
      </w:pPr>
      <w:r>
        <w:rPr>
          <w:b/>
          <w:bCs/>
          <w:color w:val="1A1A1A"/>
          <w:sz w:val="36"/>
          <w:szCs w:val="36"/>
        </w:rPr>
        <w:t xml:space="preserve">١) أنه علامةُ الإحسانِ والإخلاص</w:t>
      </w:r>
    </w:p>
    <w:p>
      <w:pPr>
        <w:spacing w:after="140" w:line="340" w:lineRule="auto"/>
        <w:jc w:val="both"/>
      </w:pPr>
      <w:r>
        <w:rPr>
          <w:color w:val="1A1A1A"/>
          <w:sz w:val="36"/>
          <w:szCs w:val="36"/>
        </w:rPr>
        <w:t xml:space="preserve">فربُّك سبحانه لمّا ذكرَ في </w:t>
      </w:r>
      <w:r>
        <w:rPr>
          <w:b/>
          <w:bCs/>
          <w:color w:val="1F5C3A"/>
          <w:sz w:val="36"/>
          <w:szCs w:val="36"/>
        </w:rPr>
        <w:t xml:space="preserve">«الذاريات»</w:t>
      </w:r>
      <w:r>
        <w:rPr>
          <w:color w:val="1A1A1A"/>
          <w:sz w:val="36"/>
          <w:szCs w:val="36"/>
        </w:rPr>
        <w:t xml:space="preserve"> أهوالَ القيامةِ انتقلَ إلى طائفةٍ من عبادِه فقال: </w:t>
      </w:r>
      <w:r>
        <w:rPr>
          <w:b/>
          <w:bCs/>
          <w:color w:val="8A6A1F"/>
          <w:sz w:val="36"/>
          <w:szCs w:val="36"/>
        </w:rPr>
        <w:t xml:space="preserve">﴿إِنَّ الْمُتَّقِينَ فِي جَنَّاتٍ وَعُيُونٍ... إِنَّهُمْ كَانُوا قَبْلَ ذَٰلِكَ مُحْسِنِينَ﴾</w:t>
      </w:r>
      <w:r>
        <w:rPr>
          <w:color w:val="1A1A1A"/>
          <w:sz w:val="36"/>
          <w:szCs w:val="36"/>
        </w:rPr>
        <w:t xml:space="preserve">. فمن هم؟ وماذا صنَعوا حتى بلَغوا الإحسان؟</w:t>
      </w:r>
    </w:p>
    <w:p>
      <w:pPr>
        <w:pBdr>
          <w:right w:val="single" w:sz="12" w:space="10" w:color="8A6A1F"/>
        </w:pBdr>
        <w:spacing w:before="120" w:after="160" w:line="320" w:lineRule="auto"/>
        <w:ind w:left="504" w:right="504"/>
        <w:jc w:val="both"/>
      </w:pPr>
      <w:r>
        <w:rPr>
          <w:b/>
          <w:bCs/>
          <w:color w:val="8A6A1F"/>
          <w:sz w:val="36"/>
          <w:szCs w:val="36"/>
        </w:rPr>
        <w:t xml:space="preserve">﴿كَانُوا قَلِيلًا مِّنَ اللَّيْلِ مَا يَهْجَعُونَ ۝ وَبِالْأَسْحَارِ هُمْ يَسْتَغْفِرُونَ﴾</w:t>
      </w:r>
    </w:p>
    <w:p>
      <w:pPr>
        <w:spacing w:after="140" w:line="340" w:lineRule="auto"/>
        <w:jc w:val="both"/>
      </w:pPr>
      <w:r>
        <w:rPr>
          <w:color w:val="1A1A1A"/>
          <w:sz w:val="36"/>
          <w:szCs w:val="36"/>
        </w:rPr>
        <w:t xml:space="preserve">وقال: </w:t>
      </w:r>
      <w:r>
        <w:rPr>
          <w:b/>
          <w:bCs/>
          <w:color w:val="8A6A1F"/>
          <w:sz w:val="36"/>
          <w:szCs w:val="36"/>
        </w:rPr>
        <w:t xml:space="preserve">﴿تَتَجَافَىٰ جُنُوبُهُمْ عَنِ الْمَضَاجِعِ يَدْعُونَ رَبَّهُمْ خَوْفًا وَطَمَعًا﴾</w:t>
      </w:r>
      <w:r>
        <w:rPr>
          <w:color w:val="1A1A1A"/>
          <w:sz w:val="36"/>
          <w:szCs w:val="36"/>
        </w:rPr>
        <w:t xml:space="preserve">.</w:t>
      </w:r>
    </w:p>
    <w:p>
      <w:pPr>
        <w:spacing w:after="140" w:line="340" w:lineRule="auto"/>
        <w:jc w:val="both"/>
      </w:pPr>
      <w:r>
        <w:rPr>
          <w:color w:val="1A1A1A"/>
          <w:sz w:val="36"/>
          <w:szCs w:val="36"/>
        </w:rPr>
        <w:t xml:space="preserve">ولذلك ـ لمّا كان القائمُ بالليلِ لا يراه أحدٌ إلا الله ـ سُئِلَ حُذيفةُ ﵁ عن علامةِ النفاق، فكان مضمونُ جوابِه: **من قامَ بالليلِ واستغفرَ إذا أذنبَ فليس بمُرائٍ ولا منافق**.</w:t>
      </w:r>
      <w:r>
        <w:rPr>
          <w:rStyle w:val="a5"/>
          <w:sz w:val="36"/>
          <w:szCs w:val="36"/>
        </w:rPr>
        <w:footnoteReference w:id="1"/>
      </w:r>
      <w:r>
        <w:rPr>
          <w:color w:val="1A1A1A"/>
          <w:sz w:val="36"/>
          <w:szCs w:val="36"/>
        </w:rPr>
        <w:t xml:space="preserve"> فمن فزِعَ قلبُه في جُنحِ الظلامِ إلى ميضأتِه فتوضَّأَ وقامَ يُناجي ربَّه ـ لا يريدُ إلا اللهَ وحدَه.</w:t>
      </w:r>
    </w:p>
    <w:p>
      <w:pPr>
        <w:spacing w:before="200" w:after="100"/>
      </w:pPr>
      <w:r>
        <w:rPr>
          <w:b/>
          <w:bCs/>
          <w:color w:val="1A1A1A"/>
          <w:sz w:val="36"/>
          <w:szCs w:val="36"/>
        </w:rPr>
        <w:t xml:space="preserve">٢) رِفعةُ المنازل</w:t>
      </w:r>
    </w:p>
    <w:p>
      <w:pPr>
        <w:spacing w:after="140" w:line="340" w:lineRule="auto"/>
        <w:jc w:val="both"/>
      </w:pPr>
      <w:r>
        <w:rPr>
          <w:color w:val="1A1A1A"/>
          <w:sz w:val="36"/>
          <w:szCs w:val="36"/>
        </w:rPr>
        <w:t xml:space="preserve">نحن نُفني أعمارَنا لدرجةٍ في الدنيا سنترُكُها. وقد أرشدَ اللهُ نبيَّه ﷺ إلى بوّابةِ الرِّفعةِ الحقيقية:</w:t>
      </w:r>
    </w:p>
    <w:p>
      <w:pPr>
        <w:pBdr>
          <w:right w:val="single" w:sz="12" w:space="10" w:color="8A6A1F"/>
        </w:pBdr>
        <w:spacing w:before="120" w:after="160" w:line="320" w:lineRule="auto"/>
        <w:ind w:left="504" w:right="504"/>
        <w:jc w:val="both"/>
      </w:pPr>
      <w:r>
        <w:rPr>
          <w:b/>
          <w:bCs/>
          <w:color w:val="8A6A1F"/>
          <w:sz w:val="36"/>
          <w:szCs w:val="36"/>
        </w:rPr>
        <w:t xml:space="preserve">﴿وَمِنَ اللَّيْلِ فَتَهَجَّدْ بِهِ نَافِلَةً لَّكَ عَسَىٰ أَن يَبْعَثَكَ رَبُّكَ مَقَامًا مَّحْمُودًا﴾</w:t>
      </w:r>
    </w:p>
    <w:p>
      <w:pPr>
        <w:spacing w:after="140" w:line="340" w:lineRule="auto"/>
        <w:jc w:val="both"/>
      </w:pPr>
      <w:r>
        <w:rPr>
          <w:color w:val="1A1A1A"/>
          <w:sz w:val="36"/>
          <w:szCs w:val="36"/>
        </w:rPr>
        <w:t xml:space="preserve">وسألَ ربيعةُ بنُ كعبٍ الأسلميُّ ﵁ ـ لمّا قال له ﷺ: </w:t>
      </w:r>
      <w:r>
        <w:rPr>
          <w:b/>
          <w:bCs/>
          <w:color w:val="1F5C3A"/>
          <w:sz w:val="36"/>
          <w:szCs w:val="36"/>
        </w:rPr>
        <w:t xml:space="preserve">«سَلْ»</w:t>
      </w:r>
      <w:r>
        <w:rPr>
          <w:color w:val="1A1A1A"/>
          <w:sz w:val="36"/>
          <w:szCs w:val="36"/>
        </w:rPr>
        <w:t xml:space="preserve"> ـ فقال: أسألُك مُرافقتَك في الجنة. فقال ﷺ: </w:t>
      </w:r>
      <w:r>
        <w:rPr>
          <w:b/>
          <w:bCs/>
          <w:color w:val="1F5C3A"/>
          <w:sz w:val="36"/>
          <w:szCs w:val="36"/>
        </w:rPr>
        <w:t xml:space="preserve">«أَوَغيرَ ذلك؟»</w:t>
      </w:r>
      <w:r>
        <w:rPr>
          <w:color w:val="1A1A1A"/>
          <w:sz w:val="36"/>
          <w:szCs w:val="36"/>
        </w:rPr>
        <w:t xml:space="preserve"> قال: هو ذاك. فقال:</w:t>
      </w:r>
    </w:p>
    <w:p>
      <w:pPr>
        <w:pBdr>
          <w:right w:val="single" w:sz="12" w:space="10" w:color="8A6A1F"/>
        </w:pBdr>
        <w:spacing w:before="120" w:after="160" w:line="320" w:lineRule="auto"/>
        <w:ind w:left="504" w:right="504"/>
        <w:jc w:val="both"/>
      </w:pPr>
      <w:r>
        <w:rPr>
          <w:b/>
          <w:bCs/>
          <w:color w:val="1F5C3A"/>
          <w:sz w:val="36"/>
          <w:szCs w:val="36"/>
        </w:rPr>
        <w:t xml:space="preserve">«فأَعِنّي على نفسِك بكثرةِ السجود»</w:t>
      </w:r>
      <w:r>
        <w:rPr>
          <w:rStyle w:val="a5"/>
          <w:sz w:val="36"/>
          <w:szCs w:val="36"/>
        </w:rPr>
        <w:footnoteReference w:id="2"/>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«شرَفُ المؤمنِ قيامُه بالليل، وعِزُّه استغناؤه عن الناس»</w:t>
      </w:r>
      <w:r>
        <w:rPr>
          <w:rStyle w:val="a5"/>
          <w:sz w:val="36"/>
          <w:szCs w:val="36"/>
        </w:rPr>
        <w:footnoteReference w:id="3"/>
      </w:r>
    </w:p>
    <w:p>
      <w:pPr>
        <w:spacing w:after="140" w:line="340" w:lineRule="auto"/>
        <w:jc w:val="both"/>
      </w:pPr>
      <w:r>
        <w:rPr>
          <w:color w:val="1A1A1A"/>
          <w:sz w:val="36"/>
          <w:szCs w:val="36"/>
        </w:rPr>
        <w:t xml:space="preserve">و</w:t>
      </w:r>
      <w:r>
        <w:rPr>
          <w:b/>
          <w:bCs/>
          <w:color w:val="1F5C3A"/>
          <w:sz w:val="36"/>
          <w:szCs w:val="36"/>
        </w:rPr>
        <w:t xml:space="preserve">«الشرَفُ»</w:t>
      </w:r>
      <w:r>
        <w:rPr>
          <w:color w:val="1A1A1A"/>
          <w:sz w:val="36"/>
          <w:szCs w:val="36"/>
        </w:rPr>
        <w:t xml:space="preserve"> في لغةِ العربِ: المُرتفِع. فإن كنتَ صاحبَ قيامٍ فأنت صاحبُ شرَف.</w:t>
      </w:r>
    </w:p>
    <w:p>
      <w:pPr>
        <w:spacing w:before="200" w:after="100"/>
      </w:pPr>
      <w:r>
        <w:rPr>
          <w:b/>
          <w:bCs/>
          <w:color w:val="1A1A1A"/>
          <w:sz w:val="36"/>
          <w:szCs w:val="36"/>
        </w:rPr>
        <w:t xml:space="preserve">٣) أنه من أعظمِ أسبابِ قُربِ اللهِ من عبدِه</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«أقرَبُ ما يكونُ الربُّ من العبدِ في جَوفِ الليلِ الآخِر؛ فإنِ استطعتَ أن تكونَ ممَّن يذكُرُ اللهَ في تلك الساعةِ فكُن»</w:t>
      </w:r>
      <w:r>
        <w:rPr>
          <w:rStyle w:val="a5"/>
          <w:sz w:val="36"/>
          <w:szCs w:val="36"/>
        </w:rPr>
        <w:footnoteReference w:id="4"/>
      </w:r>
    </w:p>
    <w:p>
      <w:pPr>
        <w:spacing w:after="140" w:line="340" w:lineRule="auto"/>
        <w:jc w:val="both"/>
      </w:pPr>
      <w:r>
        <w:rPr>
          <w:color w:val="1A1A1A"/>
          <w:sz w:val="36"/>
          <w:szCs w:val="36"/>
        </w:rPr>
        <w:t xml:space="preserve">فاللهُ سبحانه ـ المُستوي على عرشِه ـ يَنزِلُ في الثلثِ الآخِرِ نزولًا يليقُ بجلالِه، فيقول: **</w:t>
      </w:r>
      <w:r>
        <w:rPr>
          <w:b/>
          <w:bCs/>
          <w:color w:val="1F5C3A"/>
          <w:sz w:val="36"/>
          <w:szCs w:val="36"/>
        </w:rPr>
        <w:t xml:space="preserve">«من يدعوني فأستجيبَ له؟ من يسألُني فأُعطيَه؟ من يستغفِرُني فأغفِرَ له؟»</w:t>
      </w:r>
      <w:r>
        <w:rPr>
          <w:color w:val="1A1A1A"/>
          <w:sz w:val="36"/>
          <w:szCs w:val="36"/>
        </w:rPr>
        <w:t xml:space="preserve">**</w:t>
      </w:r>
      <w:r>
        <w:rPr>
          <w:rStyle w:val="a5"/>
          <w:sz w:val="36"/>
          <w:szCs w:val="36"/>
        </w:rPr>
        <w:footnoteReference w:id="5"/>
      </w:r>
    </w:p>
    <w:p>
      <w:pPr>
        <w:spacing w:before="200" w:after="100"/>
      </w:pPr>
      <w:r>
        <w:rPr>
          <w:b/>
          <w:bCs/>
          <w:color w:val="1A1A1A"/>
          <w:sz w:val="36"/>
          <w:szCs w:val="36"/>
        </w:rPr>
        <w:t xml:space="preserve">٤) أنه من أسبابِ دخولِ الجنَّة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«أيها الناس، أَفشوا السلام، وأَطعِموا الطعام، وصِلوا الأرحام، وصَلُّوا بالليلِ والناسُ نيام؛ تدخُلوا الجنَّةَ بسلام»</w:t>
      </w:r>
      <w:r>
        <w:rPr>
          <w:rStyle w:val="a5"/>
          <w:sz w:val="36"/>
          <w:szCs w:val="36"/>
        </w:rPr>
        <w:footnoteReference w:id="6"/>
      </w:r>
    </w:p>
    <w:p>
      <w:pPr>
        <w:spacing w:after="140" w:line="340" w:lineRule="auto"/>
        <w:jc w:val="both"/>
      </w:pPr>
      <w:r>
        <w:rPr>
          <w:color w:val="1A1A1A"/>
          <w:sz w:val="36"/>
          <w:szCs w:val="36"/>
        </w:rPr>
        <w:t xml:space="preserve">بوّاباتٌ لا تحتاجُ إلى تعقيدٍ ولا فلسفة.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00" w:after="100"/>
      </w:pPr>
      <w:r>
        <w:rPr>
          <w:b/>
          <w:bCs/>
          <w:color w:val="1A1A1A"/>
          <w:sz w:val="36"/>
          <w:szCs w:val="36"/>
        </w:rPr>
        <w:t xml:space="preserve">٥) أنه من صفاتِ عبادِ الرحمن</w:t>
      </w:r>
    </w:p>
    <w:p>
      <w:pPr>
        <w:spacing w:after="140" w:line="340" w:lineRule="auto"/>
        <w:jc w:val="both"/>
      </w:pPr>
      <w:r>
        <w:rPr>
          <w:b/>
          <w:bCs/>
          <w:color w:val="8A6A1F"/>
          <w:sz w:val="36"/>
          <w:szCs w:val="36"/>
        </w:rPr>
        <w:t xml:space="preserve">﴿وَالَّذِينَ يَبِيتُونَ لِرَبِّهِمْ سُجَّدًا وَقِيَامًا﴾</w:t>
      </w:r>
      <w:r>
        <w:rPr>
          <w:color w:val="1A1A1A"/>
          <w:sz w:val="36"/>
          <w:szCs w:val="36"/>
        </w:rPr>
        <w:t xml:space="preserve">. ولاحِظِ اللفظَ: **</w:t>
      </w:r>
      <w:r>
        <w:rPr>
          <w:b/>
          <w:bCs/>
          <w:color w:val="8A6A1F"/>
          <w:sz w:val="36"/>
          <w:szCs w:val="36"/>
        </w:rPr>
        <w:t xml:space="preserve">﴿يَبِيتُونَ﴾</w:t>
      </w:r>
      <w:r>
        <w:rPr>
          <w:color w:val="1A1A1A"/>
          <w:sz w:val="36"/>
          <w:szCs w:val="36"/>
        </w:rPr>
        <w:t xml:space="preserve">**؛ فنحن نبيتُ على الفُرُشِ والشاشات، وهم يبيتون للهِ سُجَّدًا وقيامًا.</w:t>
      </w:r>
    </w:p>
    <w:p>
      <w:pPr>
        <w:spacing w:before="200" w:after="100"/>
      </w:pPr>
      <w:r>
        <w:rPr>
          <w:b/>
          <w:bCs/>
          <w:color w:val="1A1A1A"/>
          <w:sz w:val="36"/>
          <w:szCs w:val="36"/>
        </w:rPr>
        <w:t xml:space="preserve">٦) أنه دَأْبُ الصالحين</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«عليكم بقيامِ الليل؛ فإنه دَأْبُ الصالحينَ قبلَكم، وقُربةٌ إلى ربِّكم، ومَكفَرةٌ للسيئات، ومَنهاةٌ عن الإثم»</w:t>
      </w:r>
      <w:r>
        <w:rPr>
          <w:rStyle w:val="a5"/>
          <w:sz w:val="36"/>
          <w:szCs w:val="36"/>
        </w:rPr>
        <w:footnoteReference w:id="7"/>
      </w:r>
    </w:p>
    <w:p>
      <w:pPr>
        <w:spacing w:after="140" w:line="340" w:lineRule="auto"/>
        <w:jc w:val="both"/>
      </w:pPr>
      <w:r>
        <w:rPr>
          <w:color w:val="1A1A1A"/>
          <w:sz w:val="36"/>
          <w:szCs w:val="36"/>
        </w:rPr>
        <w:t xml:space="preserve">وأحبُّ الصلاةِ إلى اللهِ صلاةُ داودَ ﵇: كان ينامُ نصفَ الليلِ ويقومُ ثُلُثَه وينامُ سُدُسَه.</w:t>
      </w:r>
      <w:r>
        <w:rPr>
          <w:rStyle w:val="a5"/>
          <w:sz w:val="36"/>
          <w:szCs w:val="36"/>
        </w:rPr>
        <w:footnoteReference w:id="8"/>
      </w:r>
    </w:p>
    <w:p>
      <w:pPr>
        <w:spacing w:after="140" w:line="340" w:lineRule="auto"/>
        <w:jc w:val="both"/>
      </w:pPr>
      <w:r>
        <w:rPr>
          <w:color w:val="1A1A1A"/>
          <w:sz w:val="36"/>
          <w:szCs w:val="36"/>
        </w:rPr>
        <w:t xml:space="preserve">وأمّا نبيُّنا ﷺ فتقولُ عائشةُ ﵂: **كان يقومُ من الليلِ حتى تتفطَّرَ قدماه**؛ فقلتُ: لِمَ تصنعُ هذا وقد غفرَ اللهُ لك ما تقدَّمَ من ذنبِك وما تأخَّر؟ فقال: **</w:t>
      </w:r>
      <w:r>
        <w:rPr>
          <w:b/>
          <w:bCs/>
          <w:color w:val="1F5C3A"/>
          <w:sz w:val="36"/>
          <w:szCs w:val="36"/>
        </w:rPr>
        <w:t xml:space="preserve">«أفلا أكونُ عبدًا شكورًا؟»</w:t>
      </w:r>
      <w:r>
        <w:rPr>
          <w:color w:val="1A1A1A"/>
          <w:sz w:val="36"/>
          <w:szCs w:val="36"/>
        </w:rPr>
        <w:t xml:space="preserve">**</w:t>
      </w:r>
      <w:r>
        <w:rPr>
          <w:rStyle w:val="a5"/>
          <w:sz w:val="36"/>
          <w:szCs w:val="36"/>
        </w:rPr>
        <w:footnoteReference w:id="9"/>
      </w:r>
    </w:p>
    <w:p>
      <w:pPr>
        <w:spacing w:after="140" w:line="340" w:lineRule="auto"/>
        <w:jc w:val="both"/>
      </w:pPr>
      <w:r>
        <w:rPr>
          <w:color w:val="1A1A1A"/>
          <w:sz w:val="36"/>
          <w:szCs w:val="36"/>
        </w:rPr>
        <w:t xml:space="preserve">**وتأمَّلْ ـ أيها الشيخُ الكبير ـ هذا الدرس:** تقولُ عائشةُ ﵂: **من كلِّ الليلِ قد أوترَ رسولُ اللهِ ﷺ؛ فانتهى وِترُه إلى السَّحَر**.</w:t>
      </w:r>
      <w:r>
        <w:rPr>
          <w:rStyle w:val="a5"/>
          <w:sz w:val="36"/>
          <w:szCs w:val="36"/>
        </w:rPr>
        <w:footnoteReference w:id="10"/>
      </w:r>
      <w:r>
        <w:rPr>
          <w:color w:val="1A1A1A"/>
          <w:sz w:val="36"/>
          <w:szCs w:val="36"/>
        </w:rPr>
        <w:t xml:space="preserve"> فالمنطقُ يقولُ: كلَّما تقدَّمَ العُمُرُ ضعُفَ القيامُ فقُدِّمَ الوِتر؛ والهَديُ النبويُّ بخلافِه: **سيرٌ تصاعُديٌّ إلى الله**، كلُّ ليلةٍ أحسنُ من سابقتِها.</w:t>
      </w:r>
    </w:p>
    <w:p>
      <w:pPr>
        <w:spacing w:after="140" w:line="340" w:lineRule="auto"/>
        <w:jc w:val="both"/>
      </w:pPr>
      <w:r>
        <w:rPr>
          <w:color w:val="1A1A1A"/>
          <w:sz w:val="36"/>
          <w:szCs w:val="36"/>
        </w:rPr>
        <w:t xml:space="preserve">وهذا عليٌّ ﵁ ـ في خلافةٍ مضطربةٍ ودوامٍ طويل ـ قيل له: صيامٌ بالنهارِ وقيامٌ بالليل! فقال: **</w:t>
      </w:r>
      <w:r>
        <w:rPr>
          <w:b/>
          <w:bCs/>
          <w:color w:val="1F5C3A"/>
          <w:sz w:val="36"/>
          <w:szCs w:val="36"/>
        </w:rPr>
        <w:t xml:space="preserve">«سَفَرُ الآخرةِ طويل، ولا يُقطَعُ إلا بسيرِ الليلِ وهو الإدلاج»</w:t>
      </w:r>
      <w:r>
        <w:rPr>
          <w:color w:val="1A1A1A"/>
          <w:sz w:val="36"/>
          <w:szCs w:val="36"/>
        </w:rPr>
        <w:t xml:space="preserve">**. وصدقَ ﷺ: **</w:t>
      </w:r>
      <w:r>
        <w:rPr>
          <w:b/>
          <w:bCs/>
          <w:color w:val="1F5C3A"/>
          <w:sz w:val="36"/>
          <w:szCs w:val="36"/>
        </w:rPr>
        <w:t xml:space="preserve">«ألا إنّ سِلعةَ اللهِ غالية؛ ألا إنّ سِلعةَ اللهِ الجنة»</w:t>
      </w:r>
      <w:r>
        <w:rPr>
          <w:color w:val="1A1A1A"/>
          <w:sz w:val="36"/>
          <w:szCs w:val="36"/>
        </w:rPr>
        <w:t xml:space="preserve">**، وقال: **</w:t>
      </w:r>
      <w:r>
        <w:rPr>
          <w:b/>
          <w:bCs/>
          <w:color w:val="1F5C3A"/>
          <w:sz w:val="36"/>
          <w:szCs w:val="36"/>
        </w:rPr>
        <w:t xml:space="preserve">«من خافَ أَدلَجَ، ومن أَدلَجَ بلَغَ المنزل»</w:t>
      </w:r>
      <w:r>
        <w:rPr>
          <w:color w:val="1A1A1A"/>
          <w:sz w:val="36"/>
          <w:szCs w:val="36"/>
        </w:rPr>
        <w:t xml:space="preserve">**.</w:t>
      </w:r>
      <w:r>
        <w:rPr>
          <w:rStyle w:val="a5"/>
          <w:sz w:val="36"/>
          <w:szCs w:val="36"/>
        </w:rPr>
        <w:footnoteReference w:id="11"/>
      </w:r>
    </w:p>
    <w:p>
      <w:pPr>
        <w:spacing w:after="140" w:line="340" w:lineRule="auto"/>
        <w:jc w:val="both"/>
      </w:pPr>
      <w:r>
        <w:rPr>
          <w:color w:val="1A1A1A"/>
          <w:sz w:val="36"/>
          <w:szCs w:val="36"/>
        </w:rPr>
        <w:t xml:space="preserve">وعبدُ الرحمنِ بنُ مَهديٍّ ﵀ رُئيَ في جدارِ قِبلتِه أثرُ سوادٍ في موضعٍ يُسنِدُ إليه جبينَه إذا تعِبَ من طولِ القيام، ثم يعودُ فيقوم.</w:t>
      </w:r>
      <w:r>
        <w:rPr>
          <w:rStyle w:val="a5"/>
          <w:sz w:val="36"/>
          <w:szCs w:val="36"/>
        </w:rPr>
        <w:footnoteReference w:id="12"/>
      </w:r>
    </w:p>
    <w:p>
      <w:pPr>
        <w:spacing w:before="260" w:after="120"/>
      </w:pPr>
      <w:r>
        <w:rPr>
          <w:b/>
          <w:bCs/>
          <w:color w:val="1F5C3A"/>
          <w:sz w:val="36"/>
          <w:szCs w:val="36"/>
        </w:rPr>
        <w:t xml:space="preserve">ثانيًا: كيف تُربِّي نفسَك على قيامِ الليل؟</w:t>
      </w:r>
    </w:p>
    <w:p>
      <w:pPr>
        <w:spacing w:after="140" w:line="340" w:lineRule="auto"/>
        <w:jc w:val="both"/>
      </w:pPr>
      <w:r>
        <w:rPr>
          <w:color w:val="1A1A1A"/>
          <w:sz w:val="36"/>
          <w:szCs w:val="36"/>
        </w:rPr>
        <w:t xml:space="preserve">**١) تركُ الذنوبِ والمعاصي.** فقد قيل لبعضِ السلف: إنّا لا نستطيعُ قيامَ الليل. فقال: **</w:t>
      </w:r>
      <w:r>
        <w:rPr>
          <w:b/>
          <w:bCs/>
          <w:color w:val="1F5C3A"/>
          <w:sz w:val="36"/>
          <w:szCs w:val="36"/>
        </w:rPr>
        <w:t xml:space="preserve">«ذنوبُك قيَّدَتْك»</w:t>
      </w:r>
      <w:r>
        <w:rPr>
          <w:color w:val="1A1A1A"/>
          <w:sz w:val="36"/>
          <w:szCs w:val="36"/>
        </w:rPr>
        <w:t xml:space="preserve">** ـ ونحوَه قال الحسنُ وسفيانُ الثوريُّ.</w:t>
      </w:r>
      <w:r>
        <w:rPr>
          <w:rStyle w:val="a5"/>
          <w:sz w:val="36"/>
          <w:szCs w:val="36"/>
        </w:rPr>
        <w:footnoteReference w:id="13"/>
      </w:r>
      <w:r>
        <w:rPr>
          <w:color w:val="1A1A1A"/>
          <w:sz w:val="36"/>
          <w:szCs w:val="36"/>
        </w:rPr>
        <w:t xml:space="preserve"> فأعظمُ حائلٍ بينك وبين القيامِ ذنوبٌ اقترفتَها بالنهار.</w:t>
      </w:r>
    </w:p>
    <w:p>
      <w:pPr>
        <w:spacing w:after="140" w:line="340" w:lineRule="auto"/>
        <w:jc w:val="both"/>
      </w:pPr>
      <w:r>
        <w:rPr>
          <w:color w:val="1A1A1A"/>
          <w:sz w:val="36"/>
          <w:szCs w:val="36"/>
        </w:rPr>
        <w:t xml:space="preserve">**٢) الدعاء.** فاستعِنْ باللهِ عليه واسألْه أن يرزُقَك إيّاه؛ فإنّ القيامَ اصطفاءٌ من الله. وكلَّما تكاسَلْتَ فقُلْ لنفسِك: أيَكرَهُ اللهُ قيامي؟! بل يُحِبُّه؛ فقُمْ.</w:t>
      </w:r>
    </w:p>
    <w:p>
      <w:pPr>
        <w:spacing w:after="140" w:line="340" w:lineRule="auto"/>
        <w:jc w:val="both"/>
      </w:pPr>
      <w:r>
        <w:rPr>
          <w:color w:val="1A1A1A"/>
          <w:sz w:val="36"/>
          <w:szCs w:val="36"/>
        </w:rPr>
        <w:t xml:space="preserve">**٣) التدرُّج.** ابدَأْ من الليلةِ بركعتَينِ ووِتْرٍ بعد العشاء، ثم زِدْ بعد أسبوع، ثم زِدْ. فإنّ الذي لا يتدرَّجُ يقومُ في رمضانَ ثم ينقطِعُ بعده.</w:t>
      </w:r>
    </w:p>
    <w:p>
      <w:pPr>
        <w:spacing w:after="140" w:line="340" w:lineRule="auto"/>
        <w:jc w:val="both"/>
      </w:pPr>
      <w:r>
        <w:rPr>
          <w:color w:val="1A1A1A"/>
          <w:sz w:val="36"/>
          <w:szCs w:val="36"/>
        </w:rPr>
        <w:t xml:space="preserve">**٤) الأسبابُ المادية.** النومُ المبكِّر أوّلًا؛ فلا تُحدِّثْني عن قيامِ الليلِ وآخِرُ ظهورٍ لك في الثالثةِ فجرًا! ثم استعِنْ بالمُنبِّهات. والنفسُ ـ كما قالتِ العرب ـ راغبةٌ إذا رغَّبتَها، وإن تُرَدَّ إلى قليلٍ تَقنَع.</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ألّا يَقبِضَنا إليه إلا ونحن ثابتون سائرون إليه من بوّابةِ قيامِ الليلِ والطاعات؛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حُذيفةَ بنِ اليمانِ ﵁؛ ذكرَه ابنُ عساكرَ في «تاريخ دمشق» وابنُ أبي الدنيا بنحوِه.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ربيعةَ بنِ كعبٍ الأسلميِّ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والبيهقيُّ في «الشعب» من حديث سهل بن سعد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من حديث عمرِو بنِ عَبَسةَ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عبد الله بن سلامٍ ﵁، وصححه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والحاكمُ من حديث أبي أُمامةَ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عمرو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والمغيرةِ بنِ شُعبةَ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هريرة ﵁، وحسَّنه الألباني. وأثرُ عليٍّ ﵁ في كتبِ الزهد.</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عبد الرحمن بن مَهديٍّ ﵀؛ ذكرَها الذهبيُّ في «سير أعلام النبلاء».</w:t>
      </w:r>
    </w:p>
  </w:footnote>
  <w:footnote w:id="1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الحسنِ البصريِّ وسفيانَ الثوريِّ وغيرِهما ﵏ في كتبِ الرقائق. (وقد نُسِبَ في التسجيلِ إلى ابنِ مسعودٍ ﵁، والمشهورُ نسبتُه إلى بعضِ التابعين.)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