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الصلاة</w:t>
      </w:r>
    </w:p>
    <w:p>
      <w:pPr>
        <w:spacing w:after="120"/>
      </w:pPr>
      <w:r>
        <w:rPr>
          <w:color w:val="8A6A1F"/>
          <w:sz w:val="36"/>
          <w:szCs w:val="36"/>
        </w:rPr>
        <w:t xml:space="preserve">رسالةٌ إلى من ضيَّعَها: في حُكمِ تركِها وما توعَّدَ اللهُ به المُفرِّطين</w:t>
      </w:r>
    </w:p>
    <w:p>
      <w:pPr>
        <w:pBdr>
          <w:top w:val="single" w:sz="6" w:space="8" w:color="8A6A1F"/>
        </w:pBdr>
        <w:spacing w:after="60"/>
      </w:pPr>
      <w:r>
        <w:rPr>
          <w:color w:val="555555"/>
          <w:sz w:val="36"/>
          <w:szCs w:val="36"/>
        </w:rPr>
        <w:t xml:space="preserve">خُطبةُ جُمُعة | د. عماد بن يونس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الكتابُ الموقوت</w:t>
      </w:r>
    </w:p>
    <w:p>
      <w:pPr>
        <w:spacing w:after="140" w:line="340" w:lineRule="auto"/>
        <w:jc w:val="both"/>
      </w:pPr>
      <w:r>
        <w:rPr>
          <w:color w:val="1A1A1A"/>
          <w:sz w:val="36"/>
          <w:szCs w:val="36"/>
        </w:rPr>
        <w:t xml:space="preserve">وبعدُ، أحبَّتي في الله، معاشرَ المصلِّين: إنها قُرَّةُ عيونِ الموحِّدين، يَفزَعُ إليها المتَّقون؛ هي </w:t>
      </w:r>
      <w:r>
        <w:rPr>
          <w:b/>
          <w:bCs/>
          <w:color w:val="8A6A1F"/>
          <w:sz w:val="36"/>
          <w:szCs w:val="36"/>
        </w:rPr>
        <w:t xml:space="preserve">﴿كِتَابًا مَّوْقُوتًا﴾</w:t>
      </w:r>
      <w:r>
        <w:rPr>
          <w:color w:val="1A1A1A"/>
          <w:sz w:val="36"/>
          <w:szCs w:val="36"/>
        </w:rPr>
        <w:t xml:space="preserve"> لا تسقُطُ عنك بحالٍ ما دامتِ الأنفاسُ تدخُلُ وتخرُج.</w:t>
      </w:r>
    </w:p>
    <w:p>
      <w:pPr>
        <w:spacing w:after="140" w:line="340" w:lineRule="auto"/>
        <w:jc w:val="both"/>
      </w:pPr>
      <w:r>
        <w:rPr>
          <w:color w:val="1A1A1A"/>
          <w:sz w:val="36"/>
          <w:szCs w:val="36"/>
        </w:rPr>
        <w:t xml:space="preserve">حديثي حديثٌ عجيبٌ لو تصوَّرَه من سلفَ لأنكَرَ علينا مقالتَنا؛ إذ لا يُعقَلُ أن يُفرِّطَ في حقِّها مسلمٌ ثم ينتسِبُ إلى الإيمان! فتراك تأتي إلى الجمعةِ وتُغادِرُها والرجلُ يبيعُ ويشتري ولا يركَعُ للهِ الجمعةَ فضلًا عن غيرِها.</w:t>
      </w:r>
    </w:p>
    <w:p>
      <w:pPr>
        <w:spacing w:after="140" w:line="340" w:lineRule="auto"/>
        <w:jc w:val="both"/>
      </w:pPr>
      <w:r>
        <w:rPr>
          <w:color w:val="1A1A1A"/>
          <w:sz w:val="36"/>
          <w:szCs w:val="36"/>
        </w:rPr>
        <w:t xml:space="preserve">فحديثي عن حُكمِ الصلاةِ وأثرِ تركِها.</w:t>
      </w:r>
    </w:p>
    <w:p>
      <w:pPr>
        <w:spacing w:before="260" w:after="120"/>
      </w:pPr>
      <w:r>
        <w:rPr>
          <w:b/>
          <w:bCs/>
          <w:color w:val="1F5C3A"/>
          <w:sz w:val="36"/>
          <w:szCs w:val="36"/>
        </w:rPr>
        <w:t xml:space="preserve">أولًا: خطرُ تركِ الصلاةِ ومنزلتُها</w:t>
      </w:r>
    </w:p>
    <w:p>
      <w:pPr>
        <w:spacing w:after="140" w:line="340" w:lineRule="auto"/>
        <w:jc w:val="both"/>
      </w:pPr>
      <w:r>
        <w:rPr>
          <w:color w:val="1A1A1A"/>
          <w:sz w:val="36"/>
          <w:szCs w:val="36"/>
        </w:rPr>
        <w:t xml:space="preserve">اسمَعْ يا من فرَّطَ ولو في صلاةٍ واحدة، ويا من فرَّطَ أبناؤه ومن يعول: إنّ تركَ الصلاةِ من أعظمِ الكبائر، وقد وردَ في شأنِ تاركِها من النصوصِ ما لم يَرِدْ في غيرِها.</w:t>
      </w:r>
    </w:p>
    <w:p>
      <w:pPr>
        <w:spacing w:after="140" w:line="340" w:lineRule="auto"/>
        <w:jc w:val="both"/>
      </w:pPr>
      <w:r>
        <w:rPr>
          <w:color w:val="1A1A1A"/>
          <w:sz w:val="36"/>
          <w:szCs w:val="36"/>
        </w:rPr>
        <w:t xml:space="preserve">قال تعالى: </w:t>
      </w:r>
      <w:r>
        <w:rPr>
          <w:b/>
          <w:bCs/>
          <w:color w:val="8A6A1F"/>
          <w:sz w:val="36"/>
          <w:szCs w:val="36"/>
        </w:rPr>
        <w:t xml:space="preserve">﴿وَأَقِيمُوا الصَّلَاةَ وَلَا تَكُونُوا مِنَ الْمُشْرِكِينَ﴾</w:t>
      </w:r>
      <w:r>
        <w:rPr>
          <w:color w:val="1A1A1A"/>
          <w:sz w:val="36"/>
          <w:szCs w:val="36"/>
        </w:rPr>
        <w:t xml:space="preserve">. وأخرجَ مسلمٌ في </w:t>
      </w:r>
      <w:r>
        <w:rPr>
          <w:b/>
          <w:bCs/>
          <w:color w:val="1F5C3A"/>
          <w:sz w:val="36"/>
          <w:szCs w:val="36"/>
        </w:rPr>
        <w:t xml:space="preserve">«صحيحه»</w:t>
      </w:r>
      <w:r>
        <w:rPr>
          <w:color w:val="1A1A1A"/>
          <w:sz w:val="36"/>
          <w:szCs w:val="36"/>
        </w:rPr>
        <w:t xml:space="preserve"> من حديث جابرِ بنِ عبدِ اللهِ ﵄ ـ فأَرْعِني قلبَك قبل سمعِك ـ قال ﷺ:</w:t>
      </w:r>
    </w:p>
    <w:p>
      <w:pPr>
        <w:pBdr>
          <w:right w:val="single" w:sz="12" w:space="10" w:color="8A6A1F"/>
        </w:pBdr>
        <w:spacing w:before="120" w:after="160" w:line="320" w:lineRule="auto"/>
        <w:ind w:left="504" w:right="504"/>
        <w:jc w:val="both"/>
      </w:pPr>
      <w:r>
        <w:rPr>
          <w:b/>
          <w:bCs/>
          <w:color w:val="1F5C3A"/>
          <w:sz w:val="36"/>
          <w:szCs w:val="36"/>
        </w:rPr>
        <w:t xml:space="preserve">«إنّ بين الرجلِ وبين الشِّركِ والكفرِ تركَ الصلاة»</w:t>
      </w:r>
      <w:r>
        <w:rPr>
          <w:rStyle w:val="a5"/>
          <w:sz w:val="36"/>
          <w:szCs w:val="36"/>
        </w:rPr>
        <w:footnoteReference w:id="1"/>
      </w:r>
    </w:p>
    <w:p>
      <w:pPr>
        <w:spacing w:after="140" w:line="340" w:lineRule="auto"/>
        <w:jc w:val="both"/>
      </w:pPr>
      <w:r>
        <w:rPr>
          <w:color w:val="1A1A1A"/>
          <w:sz w:val="36"/>
          <w:szCs w:val="36"/>
        </w:rPr>
        <w:t xml:space="preserve">وأخرجَ الترمذيُّ من حديث بُرَيدةَ ﵁ بإسنادٍ صحيح:</w:t>
      </w:r>
    </w:p>
    <w:p>
      <w:pPr>
        <w:pBdr>
          <w:right w:val="single" w:sz="12" w:space="10" w:color="8A6A1F"/>
        </w:pBdr>
        <w:spacing w:before="120" w:after="160" w:line="320" w:lineRule="auto"/>
        <w:ind w:left="504" w:right="504"/>
        <w:jc w:val="both"/>
      </w:pPr>
      <w:r>
        <w:rPr>
          <w:b/>
          <w:bCs/>
          <w:color w:val="1F5C3A"/>
          <w:sz w:val="36"/>
          <w:szCs w:val="36"/>
        </w:rPr>
        <w:t xml:space="preserve">«العهدُ الذي بيننا وبينهمُ الصلاة؛ فمن ترَكَها فقد كفَر»</w:t>
      </w:r>
      <w:r>
        <w:rPr>
          <w:rStyle w:val="a5"/>
          <w:sz w:val="36"/>
          <w:szCs w:val="36"/>
        </w:rPr>
        <w:footnoteReference w:id="2"/>
      </w:r>
    </w:p>
    <w:p>
      <w:pPr>
        <w:spacing w:after="140" w:line="340" w:lineRule="auto"/>
        <w:jc w:val="both"/>
      </w:pPr>
      <w:r>
        <w:rPr>
          <w:color w:val="1A1A1A"/>
          <w:sz w:val="36"/>
          <w:szCs w:val="36"/>
        </w:rPr>
        <w:t xml:space="preserve">وقال عبدُ اللهِ بنُ شَقيقٍ العُقَيليُّ ـ وهو من سادةِ التابعين ـ: **</w:t>
      </w:r>
      <w:r>
        <w:rPr>
          <w:b/>
          <w:bCs/>
          <w:color w:val="1F5C3A"/>
          <w:sz w:val="36"/>
          <w:szCs w:val="36"/>
        </w:rPr>
        <w:t xml:space="preserve">«كان أصحابُ محمدٍ ﷺ لا يرَونَ شيئًا من الأعمالِ تركُه كفرٌ غيرَ الصلاة»</w:t>
      </w:r>
      <w:r>
        <w:rPr>
          <w:color w:val="1A1A1A"/>
          <w:sz w:val="36"/>
          <w:szCs w:val="36"/>
        </w:rPr>
        <w:t xml:space="preserve">.**</w:t>
      </w:r>
      <w:r>
        <w:rPr>
          <w:rStyle w:val="a5"/>
          <w:sz w:val="36"/>
          <w:szCs w:val="36"/>
        </w:rPr>
        <w:footnoteReference w:id="3"/>
      </w:r>
    </w:p>
    <w:p>
      <w:pPr>
        <w:spacing w:after="140" w:line="340" w:lineRule="auto"/>
        <w:jc w:val="both"/>
      </w:pPr>
      <w:r>
        <w:rPr>
          <w:color w:val="1A1A1A"/>
          <w:sz w:val="36"/>
          <w:szCs w:val="36"/>
        </w:rPr>
        <w:t xml:space="preserve">وقد كان الفاروقُ ﵁ ـ لمّا طُعِنَ وهو يُصلِّي الفجرَ ـ في غَشيةٍ لا يُفيق؛ فقال رجل: إنكم لن تُفزِعوه بشيءٍ إلا بالصلاة. قالوا: الصلاةَ يا أميرَ المؤمنين! ففتحَ عينَيه وقال: أصلّى الناسُ؟ قالوا: نعم. فقال:</w:t>
      </w:r>
    </w:p>
    <w:p>
      <w:pPr>
        <w:pBdr>
          <w:right w:val="single" w:sz="12" w:space="10" w:color="8A6A1F"/>
        </w:pBdr>
        <w:spacing w:before="120" w:after="160" w:line="320" w:lineRule="auto"/>
        <w:ind w:left="504" w:right="504"/>
        <w:jc w:val="both"/>
      </w:pPr>
      <w:r>
        <w:rPr>
          <w:b/>
          <w:bCs/>
          <w:color w:val="1F5C3A"/>
          <w:sz w:val="36"/>
          <w:szCs w:val="36"/>
        </w:rPr>
        <w:t xml:space="preserve">«نعم، ولا حَظَّ في الإسلامِ لمن ترَكَ الصلاة»</w:t>
      </w:r>
    </w:p>
    <w:p>
      <w:pPr>
        <w:spacing w:after="140" w:line="340" w:lineRule="auto"/>
        <w:jc w:val="both"/>
      </w:pPr>
      <w:r>
        <w:rPr>
          <w:color w:val="1A1A1A"/>
          <w:sz w:val="36"/>
          <w:szCs w:val="36"/>
        </w:rPr>
        <w:t xml:space="preserve">ثم صلّى وجُرحُه يَثعَبُ دمًا.</w:t>
      </w:r>
      <w:r>
        <w:rPr>
          <w:rStyle w:val="a5"/>
          <w:sz w:val="36"/>
          <w:szCs w:val="36"/>
        </w:rPr>
        <w:footnoteReference w:id="4"/>
      </w:r>
    </w:p>
    <w:p>
      <w:pPr>
        <w:spacing w:after="140" w:line="340" w:lineRule="auto"/>
        <w:jc w:val="both"/>
      </w:pPr>
      <w:r>
        <w:rPr>
          <w:color w:val="1A1A1A"/>
          <w:sz w:val="36"/>
          <w:szCs w:val="36"/>
        </w:rPr>
        <w:t xml:space="preserve">**وها هنا تحريرٌ لا بدَّ منه:** فإنّ أهلَ العلمِ اختلفوا في تاركِ الصلاةِ تكاسُلًا مع إقرارِه بوجوبِها ـ لا جاحدًا لها؛ فذهبَ جماعةٌ ـ منهم الإمامُ أحمدُ في المشهورِ عنه وجماعةٌ من الصحابةِ ـ إلى أنه يكفُرُ كفرًا أكبرَ أخذًا بظاهرِ هذه النصوص، وذهبَ آخَرون ـ منهم أبو حنيفةَ ومالكٌ والشافعيُّ ـ إلى أنه لا يكفُرُ الكفرَ المُخرِجَ من الملَّةِ وإن كان قد أتى كبيرةً عظيمة، وحمَلوا النصوصَ على التغليظِ والزَّجرِ أو على الجاحد. **وأمّا مَن جحَدَ وجوبَها فكافرٌ بالإجماع.**</w:t>
      </w:r>
      <w:r>
        <w:rPr>
          <w:rStyle w:val="a5"/>
          <w:sz w:val="36"/>
          <w:szCs w:val="36"/>
        </w:rPr>
        <w:footnoteReference w:id="5"/>
      </w:r>
    </w:p>
    <w:p>
      <w:pPr>
        <w:spacing w:after="140" w:line="340" w:lineRule="auto"/>
        <w:jc w:val="both"/>
      </w:pPr>
      <w:r>
        <w:rPr>
          <w:color w:val="1A1A1A"/>
          <w:sz w:val="36"/>
          <w:szCs w:val="36"/>
        </w:rPr>
        <w:t xml:space="preserve">فالخلافُ معتبَرٌ بين أئمَّةِ الإسلام، ولكنّ المُتَّفَقَ عليه بين الجميعِ أنّ تركَها من أعظمِ الكبائر، وأنّ صاحبَه على خطرٍ عظيم. وما يترتَّبُ على ذلك من أحكامٍ ـ في نكاحٍ أو ذبيحةٍ أو تغسيلٍ أو دفنٍ ـ فمَبنيٌّ على هذا الخلافِ نفسِه، ومَرَدُّه إلى أهلِ الفتوى والقضاء لا إلى آحادِ الناس. فليس لأحدٍ أن يُنزِلَ هذه الأحكامَ بنفسِه على أحدٍ بعينِه.</w:t>
      </w:r>
    </w:p>
    <w:p>
      <w:pPr>
        <w:spacing w:after="140" w:line="340" w:lineRule="auto"/>
        <w:jc w:val="both"/>
      </w:pPr>
      <w:r>
        <w:rPr>
          <w:color w:val="1A1A1A"/>
          <w:sz w:val="36"/>
          <w:szCs w:val="36"/>
        </w:rPr>
        <w:t xml:space="preserve">فالمقصودُ ـ يا مسلم ـ الزَّجرُ والتخويف، لا التسرُّعُ في التكفير. فكلَّما تهاوَنَتْ نفسُك في الصلاةِ فتذكَّرْ حبيبَك ﷺ وهو يلفِظُ أنفاسَه الأخيرةَ يقول:</w:t>
      </w:r>
    </w:p>
    <w:p>
      <w:pPr>
        <w:pBdr>
          <w:right w:val="single" w:sz="12" w:space="10" w:color="8A6A1F"/>
        </w:pBdr>
        <w:spacing w:before="120" w:after="160" w:line="320" w:lineRule="auto"/>
        <w:ind w:left="504" w:right="504"/>
        <w:jc w:val="both"/>
      </w:pPr>
      <w:r>
        <w:rPr>
          <w:b/>
          <w:bCs/>
          <w:color w:val="1F5C3A"/>
          <w:sz w:val="36"/>
          <w:szCs w:val="36"/>
        </w:rPr>
        <w:t xml:space="preserve">«الصلاةَ الصلاةَ، وما ملكَتْ أيمانُكم»</w:t>
      </w:r>
      <w:r>
        <w:rPr>
          <w:rStyle w:val="a5"/>
          <w:sz w:val="36"/>
          <w:szCs w:val="36"/>
        </w:rPr>
        <w:footnoteReference w:id="6"/>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أحبَّتي في الله: فماذا أعدَّ اللهُ لمن ضيَّعَ الصلاة؟</w:t>
      </w:r>
    </w:p>
    <w:p>
      <w:pPr>
        <w:spacing w:before="260" w:after="120"/>
      </w:pPr>
      <w:r>
        <w:rPr>
          <w:b/>
          <w:bCs/>
          <w:color w:val="1F5C3A"/>
          <w:sz w:val="36"/>
          <w:szCs w:val="36"/>
        </w:rPr>
        <w:t xml:space="preserve">ثانيًا: وعيدُ المُفرِّطين</w:t>
      </w:r>
    </w:p>
    <w:p>
      <w:pPr>
        <w:spacing w:after="140" w:line="340" w:lineRule="auto"/>
        <w:jc w:val="both"/>
      </w:pPr>
      <w:r>
        <w:rPr>
          <w:color w:val="1A1A1A"/>
          <w:sz w:val="36"/>
          <w:szCs w:val="36"/>
        </w:rPr>
        <w:t xml:space="preserve">واسمَعْ يا من في بيتِه من لا يُصلِّي وأنت قادرٌ على أمرِه؛ واعلَمْ ـ أيها الأبُ وأيَّتُها الأمُّ ـ أنّ الولدَ إذا بلغَ السابعةَ فإنك مُطالَبٌ بأمرِه بالصلاة؛ قال ﷺ:</w:t>
      </w:r>
    </w:p>
    <w:p>
      <w:pPr>
        <w:pBdr>
          <w:right w:val="single" w:sz="12" w:space="10" w:color="8A6A1F"/>
        </w:pBdr>
        <w:spacing w:before="120" w:after="160" w:line="320" w:lineRule="auto"/>
        <w:ind w:left="504" w:right="504"/>
        <w:jc w:val="both"/>
      </w:pPr>
      <w:r>
        <w:rPr>
          <w:b/>
          <w:bCs/>
          <w:color w:val="1F5C3A"/>
          <w:sz w:val="36"/>
          <w:szCs w:val="36"/>
        </w:rPr>
        <w:t xml:space="preserve">«مُروا أولادَكم بالصلاةِ وهم أبناءُ سبعِ سنين، واضرِبوهم عليها وهم أبناءُ عَشْر، وفرِّقوا بينهم في المضاجع»</w:t>
      </w:r>
      <w:r>
        <w:rPr>
          <w:rStyle w:val="a5"/>
          <w:sz w:val="36"/>
          <w:szCs w:val="36"/>
        </w:rPr>
        <w:footnoteReference w:id="7"/>
      </w:r>
    </w:p>
    <w:p>
      <w:pPr>
        <w:spacing w:before="200" w:after="100"/>
      </w:pPr>
      <w:r>
        <w:rPr>
          <w:b/>
          <w:bCs/>
          <w:color w:val="1A1A1A"/>
          <w:sz w:val="36"/>
          <w:szCs w:val="36"/>
        </w:rPr>
        <w:t xml:space="preserve">١) الوعيدُ بسَقَر</w:t>
      </w:r>
    </w:p>
    <w:p>
      <w:pPr>
        <w:spacing w:after="140" w:line="340" w:lineRule="auto"/>
        <w:jc w:val="both"/>
      </w:pPr>
      <w:r>
        <w:rPr>
          <w:b/>
          <w:bCs/>
          <w:color w:val="8A6A1F"/>
          <w:sz w:val="36"/>
          <w:szCs w:val="36"/>
        </w:rPr>
        <w:t xml:space="preserve">﴿مَا سَلَكَكُمْ فِي سَقَرَ ۝ قَالُوا لَمْ نَكُ مِنَ الْمُصَلِّينَ﴾</w:t>
      </w:r>
      <w:r>
        <w:rPr>
          <w:color w:val="1A1A1A"/>
          <w:sz w:val="36"/>
          <w:szCs w:val="36"/>
        </w:rPr>
        <w:t xml:space="preserve">. فأوَّلُ ما احتجُّوا به على أنفسِهم تركُ الصلاة! وسَقَرُ التي: </w:t>
      </w:r>
      <w:r>
        <w:rPr>
          <w:b/>
          <w:bCs/>
          <w:color w:val="8A6A1F"/>
          <w:sz w:val="36"/>
          <w:szCs w:val="36"/>
        </w:rPr>
        <w:t xml:space="preserve">﴿لَا تُبْقِي وَلَا تَذَرُ ۝ لَوَّاحَةٌ لِّلْبَشَرِ ۝ عَلَيْهَا تِسْعَةَ عَشَرَ﴾</w:t>
      </w:r>
      <w:r>
        <w:rPr>
          <w:color w:val="1A1A1A"/>
          <w:sz w:val="36"/>
          <w:szCs w:val="36"/>
        </w:rPr>
        <w:t xml:space="preserve">. فيا مسلمُ، أَتَقوى على سَقَر؟</w:t>
      </w:r>
    </w:p>
    <w:p>
      <w:pPr>
        <w:spacing w:before="200" w:after="100"/>
      </w:pPr>
      <w:r>
        <w:rPr>
          <w:b/>
          <w:bCs/>
          <w:color w:val="1A1A1A"/>
          <w:sz w:val="36"/>
          <w:szCs w:val="36"/>
        </w:rPr>
        <w:t xml:space="preserve">٢) الوعيدُ بالغَيّ</w:t>
      </w:r>
    </w:p>
    <w:p>
      <w:pPr>
        <w:spacing w:after="140" w:line="340" w:lineRule="auto"/>
        <w:jc w:val="both"/>
      </w:pPr>
      <w:r>
        <w:rPr>
          <w:b/>
          <w:bCs/>
          <w:color w:val="8A6A1F"/>
          <w:sz w:val="36"/>
          <w:szCs w:val="36"/>
        </w:rPr>
        <w:t xml:space="preserve">﴿فَخَلَفَ مِن بَعْدِهِمْ خَلْفٌ أَضَاعُوا الصَّلَاةَ وَاتَّبَعُوا الشَّهَوَاتِ فَسَوْفَ يَلْقَوْنَ غَيًّا﴾</w:t>
      </w:r>
      <w:r>
        <w:rPr>
          <w:color w:val="1A1A1A"/>
          <w:sz w:val="36"/>
          <w:szCs w:val="36"/>
        </w:rPr>
        <w:t xml:space="preserve">. وقال بعضُ المفسِّرين: الغَيُّ وادٍ في جهنّم.</w:t>
      </w:r>
      <w:r>
        <w:rPr>
          <w:rStyle w:val="a5"/>
          <w:sz w:val="36"/>
          <w:szCs w:val="36"/>
        </w:rPr>
        <w:footnoteReference w:id="8"/>
      </w:r>
      <w:r>
        <w:rPr>
          <w:color w:val="1A1A1A"/>
          <w:sz w:val="36"/>
          <w:szCs w:val="36"/>
        </w:rPr>
        <w:t xml:space="preserve"> ولاحِظِ اللفظَ: </w:t>
      </w:r>
      <w:r>
        <w:rPr>
          <w:b/>
          <w:bCs/>
          <w:color w:val="8A6A1F"/>
          <w:sz w:val="36"/>
          <w:szCs w:val="36"/>
        </w:rPr>
        <w:t xml:space="preserve">﴿أَضَاعُوا الصَّلَاةَ﴾</w:t>
      </w:r>
      <w:r>
        <w:rPr>
          <w:color w:val="1A1A1A"/>
          <w:sz w:val="36"/>
          <w:szCs w:val="36"/>
        </w:rPr>
        <w:t xml:space="preserve"> ـ وإضاعتُها تكونُ بتركِها وتكونُ بتأخيرِها عن وقتِها.</w:t>
      </w:r>
    </w:p>
    <w:p>
      <w:pPr>
        <w:spacing w:before="200" w:after="100"/>
      </w:pPr>
      <w:r>
        <w:rPr>
          <w:b/>
          <w:bCs/>
          <w:color w:val="1A1A1A"/>
          <w:sz w:val="36"/>
          <w:szCs w:val="36"/>
        </w:rPr>
        <w:t xml:space="preserve">٣) الحشرُ مع رؤوسِ الكُفر</w:t>
      </w:r>
    </w:p>
    <w:p>
      <w:pPr>
        <w:spacing w:after="140" w:line="340" w:lineRule="auto"/>
        <w:jc w:val="both"/>
      </w:pPr>
      <w:r>
        <w:rPr>
          <w:color w:val="1A1A1A"/>
          <w:sz w:val="36"/>
          <w:szCs w:val="36"/>
        </w:rPr>
        <w:t xml:space="preserve">وهذا الحديثُ أعجَبُ ما أقرَؤه؛ قال ﷺ في الصلواتِ الخمس:</w:t>
      </w:r>
    </w:p>
    <w:p>
      <w:pPr>
        <w:pBdr>
          <w:right w:val="single" w:sz="12" w:space="10" w:color="8A6A1F"/>
        </w:pBdr>
        <w:spacing w:before="120" w:after="160" w:line="320" w:lineRule="auto"/>
        <w:ind w:left="504" w:right="504"/>
        <w:jc w:val="both"/>
      </w:pPr>
      <w:r>
        <w:rPr>
          <w:b/>
          <w:bCs/>
          <w:color w:val="1F5C3A"/>
          <w:sz w:val="36"/>
          <w:szCs w:val="36"/>
        </w:rPr>
        <w:t xml:space="preserve">«مَن حافظَ عليها كانت له نورًا وبُرهانًا ونجاةً يومَ القيامة، ومن لم يُحافِظْ عليها لم يكُنْ له نورٌ ولا بُرهانٌ ولا نجاة، وكان يومَ القيامةِ مع قارونَ وفرعونَ وهامانَ وأُبَيِّ بنِ خَلَف»</w:t>
      </w:r>
      <w:r>
        <w:rPr>
          <w:rStyle w:val="a5"/>
          <w:sz w:val="36"/>
          <w:szCs w:val="36"/>
        </w:rPr>
        <w:footnoteReference w:id="9"/>
      </w:r>
    </w:p>
    <w:p>
      <w:pPr>
        <w:spacing w:after="140" w:line="340" w:lineRule="auto"/>
        <w:jc w:val="both"/>
      </w:pPr>
      <w:r>
        <w:rPr>
          <w:color w:val="1A1A1A"/>
          <w:sz w:val="36"/>
          <w:szCs w:val="36"/>
        </w:rPr>
        <w:t xml:space="preserve">أتُرضيك هذه الصُّحبة؟! فما أتعسَ عبدًا هذا مَحشرُه، وما أنعمَ عبدًا يُحشَرُ مع محمدٍ ﷺ.</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فاللهَ اللهَ يا أمَّةَ الإسلامِ في الصلاة! وعظِّمْها في قلبِ ولدِك، واجعَلْه يراك تتنازلُ عن كلِّ شيءٍ ولا تتنازلُ عنها.</w:t>
      </w:r>
    </w:p>
    <w:p>
      <w:pPr>
        <w:spacing w:after="140" w:line="340" w:lineRule="auto"/>
        <w:jc w:val="both"/>
      </w:pPr>
      <w:r>
        <w:rPr>
          <w:color w:val="1A1A1A"/>
          <w:sz w:val="36"/>
          <w:szCs w:val="36"/>
        </w:rPr>
        <w:t xml:space="preserve">فنسألُ اللهَ العظيمَ ربَّ العرشِ العظيمِ أن يرزُقَنا قلوبًا تُعظِّمُ الصلاة، وأن يُثبِّتَنا عليها حتى نلقاه؛ إنه وليُّ ذلك والقادرُ عليه. اللهم اجعَلْنا مُقيمي الصلاةِ ومن ذُرِّيّاتِنا، ربَّنا وتقبَّلْ دعاء.</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جابر بن عبد الله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والنسائيُّ وابنُ ماجه من حديث بُرَيدةَ ﵁،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صحيح؛ أخرجه الترمذيُّ في «جامعه» عن عبد الله بن شَقيقٍ العُقَيليِّ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عمر بن الخطاب ﵁؛ أخرجه مالكٌ في «الموطأ» وعبدُ الرزاقِ في «المصنَّف».</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المسألةُ من أشهرِ مسائلِ الخلافِ بين الأئمَّة، وقد بسَطَها ابنُ القيمِ في «الصلاة وحكم تاركها»، وابنُ تيميةَ في «مجموع الفتاوى»، وابنُ قدامةَ في «المغني». والمُجمَعُ عليه: كفرُ الجاحدِ لوجوبِها، وعِظَمُ جُرمِ التاركِ تكاسُلًا.</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وأبو داود وابنُ ماجه من حديث عليٍّ وأنسٍ وأمِّ سلمة ﵃، وصححه الألباني.</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عمرِو بنِ شُعَيبٍ عن أبيه عن جدِّه ﵄، وحسَّنه الألباني.</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أقوالِ المفسِّرين في الآية؛ ذكرَه الطبريُّ وابنُ كثيرٍ عن ابنِ مسعودٍ وغيرِه، وقيل: الغَيُّ الخُسرانُ والضلال.</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والدارميُّ من حديث عبد الله بن عمرو ﵄، وحسَّنه الألباني.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