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الاعتبارُ بمرور الأيّام والأعمار</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هل أنت مستعدٌّ للنداء الأخير؟</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مسافرٌ لم يتزوّد، وهو يعلم أنّه في كلِّ يومٍ يقترب من موعد سفره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تزوّد الناسُ فحزموا أمتعتَهم وملأوا حقائبهم بما ينفعهم في رحلتهم الأبديّة — أمّا صاحبُنا فظلَّ غافلًا؛ حقيبتُه فارغة! بل ملأها بما لا ينفعه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ثم يدنو موعدُ الرحلة، ويعلو الصوتُ، وتُجهِشُ العيونُ بالبكاء: ﴿وَجَاءَتْ سَكْرَةُ الْمَوْتِ بِالْحَقِّ ۖ ذَٰلِكَ مَا كُنتَ مِنْهُ تَحِيدُ﴾</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أيّها المسافرون — ولم أُخطئ ولم أَلحَنْ — </w:t>
      </w:r>
      <w:r>
        <w:rPr>
          <w:rFonts w:ascii="Traditional Arabic" w:cs="Traditional Arabic" w:eastAsia="Traditional Arabic" w:hAnsi="Traditional Arabic"/>
          <w:b/>
          <w:bCs/>
          <w:i w:val="false"/>
          <w:iCs w:val="false"/>
          <w:sz w:val="28"/>
          <w:szCs w:val="28"/>
          <w:rtl/>
        </w:rPr>
        <w:t xml:space="preserve">إنّنا مسافرون: سفرُ خلودٍ بوّابتُه الموتُ ومركبتُه القبر</w:t>
      </w:r>
      <w:r>
        <w:rPr>
          <w:rFonts w:ascii="Traditional Arabic" w:cs="Traditional Arabic" w:eastAsia="Traditional Arabic" w:hAnsi="Traditional Arabic"/>
          <w:b w:val="false"/>
          <w:bCs w:val="false"/>
          <w:i w:val="false"/>
          <w:iCs w:val="false"/>
          <w:sz w:val="28"/>
          <w:szCs w:val="28"/>
          <w:rtl/>
        </w:rPr>
        <w:t xml:space="preserve">. وكأنّي بالعام يُنادينا بقول أبي إسحاق الإلبيريّ:</w:t>
      </w:r>
    </w:p>
    <w:p>
      <w:pPr>
        <w:bidi/>
        <w:spacing w:after="130" w:line="365"/>
        <w:jc w:val="center"/>
      </w:pPr>
      <w:r>
        <w:rPr>
          <w:rFonts w:ascii="Traditional Arabic" w:cs="Traditional Arabic" w:eastAsia="Traditional Arabic" w:hAnsi="Traditional Arabic"/>
          <w:b/>
          <w:bCs/>
          <w:i w:val="false"/>
          <w:iCs w:val="false"/>
          <w:sz w:val="28"/>
          <w:szCs w:val="28"/>
          <w:rtl/>
        </w:rPr>
        <w:t xml:space="preserve">تُفَتِّتُ فؤادَك الأيّامُ فَتّا ••• وتَنحَتُ جِسمَكَ السّاعاتُ نَحتا
وتَدعوكَ المَنونُ دُعاءَ صِدقٍ ••• ألا يا صاحِ أنتَ أُريدَ أنتا</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وصايا استعدادًا للرحلة</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الوصيّة الأولى: قِصَرُ الأمل</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فإنّ مَن قَصُر أملُه حريٌّ أن يُقبِل على مولاه ويستعدَّ قبل أن يحين الموعد. </w:t>
      </w:r>
      <w:r>
        <w:rPr>
          <w:rFonts w:ascii="Traditional Arabic" w:cs="Traditional Arabic" w:eastAsia="Traditional Arabic" w:hAnsi="Traditional Arabic"/>
          <w:b/>
          <w:bCs/>
          <w:i w:val="false"/>
          <w:iCs w:val="false"/>
          <w:sz w:val="28"/>
          <w:szCs w:val="28"/>
          <w:rtl/>
        </w:rPr>
        <w:t xml:space="preserve">وأمّا الغارقُ في طول الأمل فسيفجَؤه الموتُ وهو في سكرة غفلته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﴿ذَرْهُمْ يَأْكُلُوا وَيَتَمَتَّعُوا وَيُلْهِهِمُ الْأَمَلُ ۖ فَسَوْفَ يَعْلَمُونَ﴾</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وخلاصةُ قِصَر الأمل ما قاله ابنُ عمر ﵄ شارحًا حديثَ «كن في الدنيا كأنّك غريب»: </w:t>
      </w:r>
      <w:r>
        <w:rPr>
          <w:rFonts w:ascii="Traditional Arabic" w:cs="Traditional Arabic" w:eastAsia="Traditional Arabic" w:hAnsi="Traditional Arabic"/>
          <w:b/>
          <w:bCs/>
          <w:i w:val="false"/>
          <w:iCs w:val="false"/>
          <w:sz w:val="28"/>
          <w:szCs w:val="28"/>
          <w:rtl/>
        </w:rPr>
        <w:t xml:space="preserve">إذا أمسيتَ فلا تنتظر الصباح، وإذا أصبحتَ فلا تنتظر المساء؛ وخُذْ من صحّتك لمرضك، ومن حياتك لموتك</w:t>
      </w:r>
      <w:r>
        <w:rPr>
          <w:rFonts w:ascii="Traditional Arabic" w:cs="Traditional Arabic" w:eastAsia="Traditional Arabic" w:hAnsi="Traditional Arabic"/>
          <w:b w:val="false"/>
          <w:bCs w:val="false"/>
          <w:i w:val="false"/>
          <w:iCs w:val="false"/>
          <w:sz w:val="28"/>
          <w:szCs w:val="28"/>
          <w:rtl/>
        </w:rPr>
        <w:t xml:space="preserve">. رواه البخاري.</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فلا تُسوِّفْ في التوبة: </w:t>
      </w:r>
      <w:r>
        <w:rPr>
          <w:rFonts w:ascii="Traditional Arabic" w:cs="Traditional Arabic" w:eastAsia="Traditional Arabic" w:hAnsi="Traditional Arabic"/>
          <w:b/>
          <w:bCs/>
          <w:i w:val="false"/>
          <w:iCs w:val="false"/>
          <w:sz w:val="28"/>
          <w:szCs w:val="28"/>
          <w:rtl/>
        </w:rPr>
        <w:t xml:space="preserve">«لَمّا أنتهي من هذه العلاقة… لَمّا ينتهي هذا المشروع… لَمّا أُزوِّج الولد… لَمّا تكبُر البنت» — حتى إذا بك الموت! ولاتَ حينَ ندم</w:t>
      </w:r>
      <w:r>
        <w:rPr>
          <w:rFonts w:ascii="Traditional Arabic" w:cs="Traditional Arabic" w:eastAsia="Traditional Arabic" w:hAnsi="Traditional Arabic"/>
          <w:b w:val="false"/>
          <w:bCs w:val="false"/>
          <w:i w:val="false"/>
          <w:iCs w:val="false"/>
          <w:sz w:val="28"/>
          <w:szCs w:val="28"/>
          <w:rtl/>
        </w:rPr>
        <w:t xml:space="preserve">. وقيل لبعض السلف: لو قيل لك إنّك تموت اليوم، ماذا كنتَ صانعًا؟ فقال: </w:t>
      </w:r>
      <w:r>
        <w:rPr>
          <w:rFonts w:ascii="Traditional Arabic" w:cs="Traditional Arabic" w:eastAsia="Traditional Arabic" w:hAnsi="Traditional Arabic"/>
          <w:b/>
          <w:bCs/>
          <w:i w:val="false"/>
          <w:iCs w:val="false"/>
          <w:sz w:val="28"/>
          <w:szCs w:val="28"/>
          <w:rtl/>
        </w:rPr>
        <w:t xml:space="preserve">واللهِ ما زدتُ في عملي شيئًا</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مصلٍّ صائم، أدّى الحقوق، وبَرَّ ووصل. فماذا ينتظر؟!</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الوصيّة الثانية: عدمُ التعلُّق بالدنيا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فالدنيا تفنى ولا تبقى؛ </w:t>
      </w:r>
      <w:r>
        <w:rPr>
          <w:rFonts w:ascii="Traditional Arabic" w:cs="Traditional Arabic" w:eastAsia="Traditional Arabic" w:hAnsi="Traditional Arabic"/>
          <w:b/>
          <w:bCs/>
          <w:i w:val="false"/>
          <w:iCs w:val="false"/>
          <w:sz w:val="28"/>
          <w:szCs w:val="28"/>
          <w:rtl/>
        </w:rPr>
        <w:t xml:space="preserve">فكيف تُعلِّق قلبَك بشيءٍ لا يبقى؟</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ومَن كان حيًّا منّا قبل مئة عام — أين هو الآن؟ وأكاد أُقسِمُ أنّه بعد مئة عامٍ لا نرى وجهًا من هذه الوجوه</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وقد رسم لنا ﷺ المنهج: </w:t>
      </w:r>
      <w:r>
        <w:rPr>
          <w:rFonts w:ascii="Traditional Arabic" w:cs="Traditional Arabic" w:eastAsia="Traditional Arabic" w:hAnsi="Traditional Arabic"/>
          <w:b/>
          <w:bCs/>
          <w:i w:val="false"/>
          <w:iCs w:val="false"/>
          <w:sz w:val="28"/>
          <w:szCs w:val="28"/>
          <w:rtl/>
        </w:rPr>
        <w:t xml:space="preserve">«كُنْ في الدنيا كأنّك غريبٌ أو عابرُ سبيل»</w:t>
      </w:r>
      <w:r>
        <w:rPr>
          <w:rFonts w:ascii="Traditional Arabic" w:cs="Traditional Arabic" w:eastAsia="Traditional Arabic" w:hAnsi="Traditional Arabic"/>
          <w:b w:val="false"/>
          <w:bCs w:val="false"/>
          <w:i w:val="false"/>
          <w:iCs w:val="false"/>
          <w:sz w:val="28"/>
          <w:szCs w:val="28"/>
          <w:rtl/>
        </w:rPr>
        <w:t xml:space="preserve">. رواه البخاري. </w:t>
      </w:r>
      <w:r>
        <w:rPr>
          <w:rFonts w:ascii="Traditional Arabic" w:cs="Traditional Arabic" w:eastAsia="Traditional Arabic" w:hAnsi="Traditional Arabic"/>
          <w:b/>
          <w:bCs/>
          <w:i w:val="false"/>
          <w:iCs w:val="false"/>
          <w:sz w:val="28"/>
          <w:szCs w:val="28"/>
          <w:rtl/>
        </w:rPr>
        <w:t xml:space="preserve">ومعناه لا أن تترك الطعامَ والشرابَ والزواج — فتلك رهبانيّةٌ ما أنزل اللهُ بها من سلطان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وإنّما أن تتعامل معها معاملةَ عابرٍ يتزوّد منها لِمَا بعدها</w:t>
      </w:r>
      <w:r>
        <w:rPr>
          <w:rFonts w:ascii="Traditional Arabic" w:cs="Traditional Arabic" w:eastAsia="Traditional Arabic" w:hAnsi="Traditional Arabic"/>
          <w:b w:val="false"/>
          <w:bCs w:val="false"/>
          <w:i w:val="false"/>
          <w:iCs w:val="false"/>
          <w:sz w:val="28"/>
          <w:szCs w:val="28"/>
          <w:rtl/>
        </w:rPr>
        <w:t xml:space="preserve">. وما أجملَ قولَ القائل:</w:t>
      </w:r>
    </w:p>
    <w:p>
      <w:pPr>
        <w:bidi/>
        <w:spacing w:after="130" w:line="365"/>
        <w:jc w:val="center"/>
      </w:pPr>
      <w:r>
        <w:rPr>
          <w:rFonts w:ascii="Traditional Arabic" w:cs="Traditional Arabic" w:eastAsia="Traditional Arabic" w:hAnsi="Traditional Arabic"/>
          <w:b/>
          <w:bCs/>
          <w:i w:val="false"/>
          <w:iCs w:val="false"/>
          <w:sz w:val="28"/>
          <w:szCs w:val="28"/>
          <w:rtl/>
        </w:rPr>
        <w:t xml:space="preserve">ولم تُخلَقْ لِتَعْمُرَها ولكِنْ ••• لِتَعْبُرَها فَجِدَّ لِما خُلِقْتا</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الوصيّة الثالثة: الإكثارُ من ذكر الموت</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فلمّا تعلّقت قلوبُنا بالدنيا انقطعنا عن ذكر الموت. </w:t>
      </w:r>
      <w:r>
        <w:rPr>
          <w:rFonts w:ascii="Traditional Arabic" w:cs="Traditional Arabic" w:eastAsia="Traditional Arabic" w:hAnsi="Traditional Arabic"/>
          <w:b/>
          <w:bCs/>
          <w:i w:val="false"/>
          <w:iCs w:val="false"/>
          <w:sz w:val="28"/>
          <w:szCs w:val="28"/>
          <w:rtl/>
        </w:rPr>
        <w:t xml:space="preserve">والعاقلُ الذي يريد الاستعدادَ لا بدّ أن يُكثِر من ذكره</w:t>
      </w:r>
      <w:r>
        <w:rPr>
          <w:rFonts w:ascii="Traditional Arabic" w:cs="Traditional Arabic" w:eastAsia="Traditional Arabic" w:hAnsi="Traditional Arabic"/>
          <w:b w:val="false"/>
          <w:bCs w:val="false"/>
          <w:i w:val="false"/>
          <w:iCs w:val="false"/>
          <w:sz w:val="28"/>
          <w:szCs w:val="28"/>
          <w:rtl/>
        </w:rPr>
        <w:t xml:space="preserve">؛ قال ﷺ: </w:t>
      </w:r>
      <w:r>
        <w:rPr>
          <w:rFonts w:ascii="Traditional Arabic" w:cs="Traditional Arabic" w:eastAsia="Traditional Arabic" w:hAnsi="Traditional Arabic"/>
          <w:b/>
          <w:bCs/>
          <w:i w:val="false"/>
          <w:iCs w:val="false"/>
          <w:sz w:val="28"/>
          <w:szCs w:val="28"/>
          <w:rtl/>
        </w:rPr>
        <w:t xml:space="preserve">«أكثِروا ذِكرَ هاذِمِ اللذّات: الموت»</w:t>
      </w:r>
      <w:r>
        <w:rPr>
          <w:rStyle w:val="FootnoteReference"/>
        </w:rPr>
        <w:footnoteReference w:id="5"/>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فأمّا مَن لا يذكر الموتَ ولا يُفكِّر فيه — فكيف يكون مستعدًّا له إذا نزل؟!</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ورأى رجلٌ آخرَ يغدو إلى المقابر كلَّ يومٍ يبكي، فسأل عنه محمدَ بنَ المنكدر: أهؤلاء أهلُه؟ </w:t>
      </w:r>
      <w:r>
        <w:rPr>
          <w:rFonts w:ascii="Traditional Arabic" w:cs="Traditional Arabic" w:eastAsia="Traditional Arabic" w:hAnsi="Traditional Arabic"/>
          <w:b/>
          <w:bCs/>
          <w:i w:val="false"/>
          <w:iCs w:val="false"/>
          <w:sz w:val="28"/>
          <w:szCs w:val="28"/>
          <w:rtl/>
        </w:rPr>
        <w:t xml:space="preserve">فقال: لا، ولكنّه رجلٌ يُعالج قلبَه بذكر الموت</w:t>
      </w:r>
      <w:r>
        <w:rPr>
          <w:rFonts w:ascii="Traditional Arabic" w:cs="Traditional Arabic" w:eastAsia="Traditional Arabic" w:hAnsi="Traditional Arabic"/>
          <w:b w:val="false"/>
          <w:bCs w:val="false"/>
          <w:i w:val="false"/>
          <w:iCs w:val="false"/>
          <w:sz w:val="28"/>
          <w:szCs w:val="28"/>
          <w:rtl/>
        </w:rPr>
        <w:t xml:space="preserve">. وقال أبو داودَ الطائيُّ لَمّا استوصاه رجل: </w:t>
      </w:r>
      <w:r>
        <w:rPr>
          <w:rFonts w:ascii="Traditional Arabic" w:cs="Traditional Arabic" w:eastAsia="Traditional Arabic" w:hAnsi="Traditional Arabic"/>
          <w:b/>
          <w:bCs/>
          <w:i w:val="false"/>
          <w:iCs w:val="false"/>
          <w:sz w:val="28"/>
          <w:szCs w:val="28"/>
          <w:rtl/>
        </w:rPr>
        <w:t xml:space="preserve">إنّ عسكرَ الموتى ينتظرونك؛ إن أخطأك هذا أصابك هذا</w:t>
      </w:r>
      <w:r>
        <w:rPr>
          <w:rStyle w:val="FootnoteReference"/>
        </w:rPr>
        <w:footnoteReference w:id="6"/>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فيا أيّها المسافر: </w:t>
      </w:r>
      <w:r>
        <w:rPr>
          <w:rFonts w:ascii="Traditional Arabic" w:cs="Traditional Arabic" w:eastAsia="Traditional Arabic" w:hAnsi="Traditional Arabic"/>
          <w:b/>
          <w:bCs/>
          <w:i w:val="false"/>
          <w:iCs w:val="false"/>
          <w:sz w:val="28"/>
          <w:szCs w:val="28"/>
          <w:rtl/>
        </w:rPr>
        <w:t xml:space="preserve">عساكرُ الموت تنتظرك — فماذا تنتظر أنت؟</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فِرَّ بقلبك إلى الله، واحزِمْ أمتعتك جيّدًا، وتزوَّدْ:</w:t>
      </w:r>
    </w:p>
    <w:p>
      <w:pPr>
        <w:bidi/>
        <w:spacing w:after="130" w:line="365"/>
        <w:jc w:val="center"/>
      </w:pPr>
      <w:r>
        <w:rPr>
          <w:rFonts w:ascii="Traditional Arabic" w:cs="Traditional Arabic" w:eastAsia="Traditional Arabic" w:hAnsi="Traditional Arabic"/>
          <w:b/>
          <w:bCs/>
          <w:i w:val="false"/>
          <w:iCs w:val="false"/>
          <w:sz w:val="28"/>
          <w:szCs w:val="28"/>
          <w:rtl/>
        </w:rPr>
        <w:t xml:space="preserve">فَما عُذرُ مَن وافاهُ غيرَ مُزَوَّدِ</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وأختمُ بموتَين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فإنّ الموتَ موتان: </w:t>
      </w:r>
      <w:r>
        <w:rPr>
          <w:rFonts w:ascii="Traditional Arabic" w:cs="Traditional Arabic" w:eastAsia="Traditional Arabic" w:hAnsi="Traditional Arabic"/>
          <w:b/>
          <w:bCs/>
          <w:i w:val="false"/>
          <w:iCs w:val="false"/>
          <w:sz w:val="28"/>
          <w:szCs w:val="28"/>
          <w:rtl/>
        </w:rPr>
        <w:t xml:space="preserve">موتٌ مات فيه البدنُ ومات معه القلب — فصاحبُه ﴿لَا يَمُوتُ فِيهَا وَلَا يَحْيَىٰ﴾</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وموتٌ مات فيه البدنُ والقلبُ حيٌّ سليمٌ يفرح صاحبُه حين يُقبِل على الله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فاختَرْ لنفسك: إمّا جنّةٌ عرضُها السماواتُ والأرض، وإمّا ﴿وَاسْتَفْتَحُوا وَخَابَ كُلُّ جَبَّارٍ عَنِيدٍ • مِّن وَرَائِهِ جَهَنَّمُ وَيُسْقَىٰ مِن مَّاءٍ صَدِيدٍ﴾</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bCs/>
          <w:i w:val="false"/>
          <w:iCs w:val="false"/>
          <w:sz w:val="28"/>
          <w:szCs w:val="28"/>
          <w:rtl/>
        </w:rPr>
        <w:t xml:space="preserve">أسألُ اللهَ أن يجعلنا ممّن يستعدُّون للقائه، وأن يُصلِح قلوبنا وأعمالنا.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ذكره ابن كثير في «البداية والنهاية» وفي تفسيره عند قصّة قوم لوط، وهو من أخبار التراجم لا من المرفوع.</w:t>
      </w:r>
    </w:p>
  </w:footnote>
  <w:footnote w:id="2">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من أخبار الزهد والتراجم في «حلية الأولياء» و«سير أعلام النبلاء»، تُساق للاعتبار لا للاحتجاج.</w:t>
      </w:r>
    </w:p>
  </w:footnote>
  <w:footnote w:id="3">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(٣١٧٥) وابن ماجه وأحمد من حديث عائشة ﵂. قال الترمذي: «حسن»، وصحّحه الألباني في «صحيح الترمذي» و«السلسلة الصحيحة» (١٦٢).</w:t>
      </w:r>
    </w:p>
  </w:footnote>
  <w:footnote w:id="4">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ابن ماجه (٤١٧١) وأحمد من حديث أبي أيّوب ﵁، وحسّنه الألباني في «صحيح الجامع» (٧٤٢) و«السلسلة الصحيحة» (٤٠١).</w:t>
      </w:r>
    </w:p>
  </w:footnote>
  <w:footnote w:id="5">
    <w:p>
      <w:pPr>
        <w:bidi/>
        <w:jc w:val="right"/>
      </w:pPr>
      <w:r>
        <w:rPr>
          <w:rStyle w:val="FootnoteReference"/>
        </w:rPr>
        <w:footnoteRef/>
      </w:r>
      <w:r>
        <w:rPr>
          <w:rFonts w:ascii="Traditional Arabic" w:cs="Traditional Arabic" w:eastAsia="Traditional Arabic" w:hAnsi="Traditional Arabic"/>
          <w:sz w:val="20"/>
          <w:szCs w:val="20"/>
          <w:rtl/>
        </w:rPr>
        <w:t xml:space="preserve">رواه الترمذي (٢٣٠٧) والنسائي وابن ماجه من حديث أبي هريرة ﵁، وصحّحه الألباني في «صحيح الجامع» (١٢١٠) و«الإرواء» (٦٨٢).</w:t>
      </w:r>
    </w:p>
  </w:footnote>
  <w:footnote w:id="6">
    <w:p>
      <w:pPr>
        <w:bidi/>
        <w:jc w:val="right"/>
      </w:pPr>
      <w:r>
        <w:rPr>
          <w:rStyle w:val="FootnoteReference"/>
        </w:rPr>
        <w:footnoteRef/>
      </w:r>
      <w:r>
        <w:rPr>
          <w:rFonts w:ascii="Traditional Arabic" w:cs="Traditional Arabic" w:eastAsia="Traditional Arabic" w:hAnsi="Traditional Arabic"/>
          <w:sz w:val="20"/>
          <w:szCs w:val="20"/>
          <w:rtl/>
        </w:rPr>
        <w:t xml:space="preserve">من أخبار الزهد في «حلية الأولياء» لأبي نعيم و«صفة الصفوة» لابن الجوزي، تُساق للاعتبار.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الاعتبارُ بمرور الأيّام والأعمار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2026-08-02T02:35:16.594Z</dcterms:created>
  <dcterms:modified xsi:type="dcterms:W3CDTF">2026-08-02T02:35:16.594Z</dcterms:modified>
</cp:coreProperties>
</file>

<file path=docProps/custom.xml><?xml version="1.0" encoding="utf-8"?>
<Properties xmlns="http://schemas.openxmlformats.org/officeDocument/2006/custom-properties" xmlns:vt="http://schemas.openxmlformats.org/officeDocument/2006/docPropsVTypes"/>
</file>