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نظرةُ المسلمِ للحياة</w:t>
      </w:r>
    </w:p>
    <w:p>
      <w:pPr>
        <w:spacing w:after="120"/>
      </w:pPr>
      <w:r>
        <w:rPr>
          <w:color w:val="8A6A1F"/>
          <w:sz w:val="36"/>
          <w:szCs w:val="36"/>
        </w:rPr>
        <w:t xml:space="preserve">ستُّ نظَراتٍ في التعاملِ مع الدنيا</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after="140" w:line="340" w:lineRule="auto"/>
        <w:jc w:val="both"/>
      </w:pPr>
      <w:r>
        <w:rPr>
          <w:color w:val="1A1A1A"/>
          <w:sz w:val="36"/>
          <w:szCs w:val="36"/>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أمّا بعدُ، فإنّ أصدقَ الحديثِ كتابُ الله، وخيرَ الهَديِ هَديُ محمدٍ ﷺ.</w:t>
      </w:r>
    </w:p>
    <w:p>
      <w:pPr>
        <w:spacing w:before="260" w:after="120"/>
      </w:pPr>
      <w:r>
        <w:rPr>
          <w:b/>
          <w:bCs/>
          <w:color w:val="1F5C3A"/>
          <w:sz w:val="36"/>
          <w:szCs w:val="36"/>
        </w:rPr>
        <w:t xml:space="preserve">تمهيد: </w:t>
      </w:r>
      <w:r>
        <w:rPr>
          <w:b/>
          <w:bCs/>
          <w:color w:val="1F5C3A"/>
          <w:sz w:val="36"/>
          <w:szCs w:val="36"/>
        </w:rPr>
        <w:t xml:space="preserve">«دعوني أُهِنِ الدنيا»</w:t>
      </w:r>
    </w:p>
    <w:p>
      <w:pPr>
        <w:spacing w:after="140" w:line="340" w:lineRule="auto"/>
        <w:jc w:val="both"/>
      </w:pPr>
      <w:r>
        <w:rPr>
          <w:color w:val="1A1A1A"/>
          <w:sz w:val="36"/>
          <w:szCs w:val="36"/>
        </w:rPr>
        <w:t xml:space="preserve">وبعدُ، أحبَّتي في الله: **أخذَ سيفَه ومضى ـ لا من أجلِ القتالِ ولا للنِّزال؛ فقد فرَغَ من معركتِه ونحَرَ صدرَ عدُوِّه، وطلَّقَ الدنيا وبَتَّ طلاقَها.**</w:t>
      </w:r>
    </w:p>
    <w:p>
      <w:pPr>
        <w:spacing w:after="140" w:line="340" w:lineRule="auto"/>
        <w:jc w:val="both"/>
      </w:pPr>
      <w:r>
        <w:rPr>
          <w:color w:val="1A1A1A"/>
          <w:sz w:val="36"/>
          <w:szCs w:val="36"/>
        </w:rPr>
        <w:t xml:space="preserve">**فقيل له: ما لي أراك تبيعُ سيفًا لطالما فلَقتَ به هامَ الرجال؟** فقال ﵁ ما معناه: **</w:t>
      </w:r>
      <w:r>
        <w:rPr>
          <w:b/>
          <w:bCs/>
          <w:color w:val="1F5C3A"/>
          <w:sz w:val="36"/>
          <w:szCs w:val="36"/>
        </w:rPr>
        <w:t xml:space="preserve">«دعوني أُهِنِ الدنيا»</w:t>
      </w:r>
      <w:r>
        <w:rPr>
          <w:color w:val="1A1A1A"/>
          <w:sz w:val="36"/>
          <w:szCs w:val="36"/>
        </w:rPr>
        <w:t xml:space="preserve">** ـ فقد أهانَها وقتَلَ حُبَّها من قلبِه واستأصلَ شهواتِها.</w:t>
      </w:r>
    </w:p>
    <w:p>
      <w:pPr>
        <w:spacing w:after="140" w:line="340" w:lineRule="auto"/>
        <w:jc w:val="both"/>
      </w:pPr>
      <w:r>
        <w:rPr>
          <w:color w:val="1A1A1A"/>
          <w:sz w:val="36"/>
          <w:szCs w:val="36"/>
        </w:rPr>
        <w:t xml:space="preserve">**وأمّا نحن فقد سكِرْنا بحُبِّها وتزوَّجْناها؛** ونسينا حكايةَ الرجلِ الصالحِ إذ رأى الدنيا مُتمثِّلةً في صورةِ عجوزٍ هَتماءَ عليها من كلِّ زينة، فقال: **كم تزوَّجتِ؟** قالت: **ما لا أُحصيهم.** قال: **أفكلُّهم ماتَ عنكِ أم كلُّهم طلَّقَكِ؟** قالت: **بل كلَّهم قتَلتُ!**</w:t>
      </w:r>
      <w:r>
        <w:rPr>
          <w:rStyle w:val="a5"/>
          <w:sz w:val="36"/>
          <w:szCs w:val="36"/>
        </w:rPr>
        <w:footnoteReference w:id="1"/>
      </w:r>
    </w:p>
    <w:p>
      <w:pPr>
        <w:spacing w:after="140" w:line="340" w:lineRule="auto"/>
        <w:jc w:val="both"/>
      </w:pPr>
      <w:r>
        <w:rPr>
          <w:color w:val="1A1A1A"/>
          <w:sz w:val="36"/>
          <w:szCs w:val="36"/>
        </w:rPr>
        <w:t xml:space="preserve">**فأيها المقتولُ الصريعُ بحُبِّ الدنيا، خُذْ منّي هذه النظَراتِ في التعاملِ معها.**</w:t>
      </w:r>
    </w:p>
    <w:p>
      <w:pPr>
        <w:spacing w:before="260" w:after="120"/>
      </w:pPr>
      <w:r>
        <w:rPr>
          <w:b/>
          <w:bCs/>
          <w:color w:val="1F5C3A"/>
          <w:sz w:val="36"/>
          <w:szCs w:val="36"/>
        </w:rPr>
        <w:t xml:space="preserve">النظرةُ الأولى: لا تحزَنْ على ما فات، ولا تفرَحْ بما هو آتٍ</w:t>
      </w:r>
    </w:p>
    <w:p>
      <w:pPr>
        <w:spacing w:after="140" w:line="340" w:lineRule="auto"/>
        <w:jc w:val="both"/>
      </w:pPr>
      <w:r>
        <w:rPr>
          <w:color w:val="1A1A1A"/>
          <w:sz w:val="36"/>
          <w:szCs w:val="36"/>
        </w:rPr>
        <w:t xml:space="preserve">قال تعالى:</w:t>
      </w:r>
    </w:p>
    <w:p>
      <w:pPr>
        <w:pBdr>
          <w:right w:val="single" w:sz="12" w:space="10" w:color="8A6A1F"/>
        </w:pBdr>
        <w:spacing w:before="120" w:after="160" w:line="320" w:lineRule="auto"/>
        <w:ind w:left="504" w:right="504"/>
        <w:jc w:val="both"/>
      </w:pPr>
      <w:r>
        <w:rPr>
          <w:b/>
          <w:bCs/>
          <w:color w:val="8A6A1F"/>
          <w:sz w:val="36"/>
          <w:szCs w:val="36"/>
        </w:rPr>
        <w:t xml:space="preserve">﴿لِّكَيْلَا تَأْسَوْا عَلَىٰ مَا فَاتَكُمْ وَلَا تَفْرَحُوا بِمَا آتَاكُمْ ۗ وَاللَّهُ لَا يُحِبُّ كُلَّ مُخْتَالٍ فَخُورٍ﴾</w:t>
      </w:r>
    </w:p>
    <w:p>
      <w:pPr>
        <w:spacing w:after="140" w:line="340" w:lineRule="auto"/>
        <w:jc w:val="both"/>
      </w:pPr>
      <w:r>
        <w:rPr>
          <w:color w:val="1A1A1A"/>
          <w:sz w:val="36"/>
          <w:szCs w:val="36"/>
        </w:rPr>
        <w:t xml:space="preserve">**فإن كنتَ كذلك فأنت الزاهد.** أمّا إن فاتَك شيءٌ من زينتِها ـ **ولا بدَّ أن يفوت** ـ فحزِنتَ وتقطَّعَ قلبُك بل وتعطَّلَتْ حياتُك، **فأَحسَنَ اللهُ عَزاءَك؛ فقد تزوَّجتَها.**</w:t>
      </w:r>
    </w:p>
    <w:p>
      <w:pPr>
        <w:spacing w:after="140" w:line="340" w:lineRule="auto"/>
        <w:jc w:val="both"/>
      </w:pPr>
      <w:r>
        <w:rPr>
          <w:color w:val="1A1A1A"/>
          <w:sz w:val="36"/>
          <w:szCs w:val="36"/>
        </w:rPr>
        <w:t xml:space="preserve">**وقيل للإمامِ أحمدَ ﵀:** أيكونُ الرجلُ ذو مالٍ زاهدًا؟ **قال: نعم؛ إن كان لا يفرَحُ بما زادَ منه ـ لأنه يعلَمُ أنّ ثَمَّ سؤالَين: من أين اكتسبَه وفيمَ أنفقَه ـ ولا يحزَنُ على ما فاتَه؛ لأنه يعلَمُ أنّ الرزّاقَ هو الله.**</w:t>
      </w:r>
      <w:r>
        <w:rPr>
          <w:rStyle w:val="a5"/>
          <w:sz w:val="36"/>
          <w:szCs w:val="36"/>
        </w:rPr>
        <w:footnoteReference w:id="2"/>
      </w:r>
    </w:p>
    <w:p>
      <w:pPr>
        <w:spacing w:before="260" w:after="120"/>
      </w:pPr>
      <w:r>
        <w:rPr>
          <w:b/>
          <w:bCs/>
          <w:color w:val="1F5C3A"/>
          <w:sz w:val="36"/>
          <w:szCs w:val="36"/>
        </w:rPr>
        <w:t xml:space="preserve">النظرةُ الثانية: عدَمُ الإكثارِ من ذِكرِها</w:t>
      </w:r>
    </w:p>
    <w:p>
      <w:pPr>
        <w:spacing w:after="140" w:line="340" w:lineRule="auto"/>
        <w:jc w:val="both"/>
      </w:pPr>
      <w:r>
        <w:rPr>
          <w:color w:val="1A1A1A"/>
          <w:sz w:val="36"/>
          <w:szCs w:val="36"/>
        </w:rPr>
        <w:t xml:space="preserve">**فإن كنتَ تجلِسُ وتقومُ وكلُّ كلامِك دنيا في دنيا ـ فأَحسَنَ اللهُ عَزاءَك في زهدِك.** قال ﷺ:</w:t>
      </w:r>
    </w:p>
    <w:p>
      <w:pPr>
        <w:pBdr>
          <w:right w:val="single" w:sz="12" w:space="10" w:color="8A6A1F"/>
        </w:pBdr>
        <w:spacing w:before="120" w:after="160" w:line="320" w:lineRule="auto"/>
        <w:ind w:left="504" w:right="504"/>
        <w:jc w:val="both"/>
      </w:pPr>
      <w:r>
        <w:rPr>
          <w:b/>
          <w:bCs/>
          <w:color w:val="1F5C3A"/>
          <w:sz w:val="36"/>
          <w:szCs w:val="36"/>
        </w:rPr>
        <w:t xml:space="preserve">«من كانتِ الدنيا همَّه فرَّقَ اللهُ عليه أمرَه، وجعَلَ فقرَه بين عينَيه، ولم يأتِه من الدنيا إلا ما قُدِّرَ له. ومن كانتِ الآخرةُ نيَّتَه جمَعَ اللهُ له أمرَه، وجعَلَ غِناه في قلبِه، وأتَتْه الدنيا وهي راغِمة»</w:t>
      </w:r>
      <w:r>
        <w:rPr>
          <w:rStyle w:val="a5"/>
          <w:sz w:val="36"/>
          <w:szCs w:val="36"/>
        </w:rPr>
        <w:footnoteReference w:id="3"/>
      </w:r>
    </w:p>
    <w:p>
      <w:pPr>
        <w:spacing w:after="140" w:line="340" w:lineRule="auto"/>
        <w:jc w:val="both"/>
      </w:pPr>
      <w:r>
        <w:rPr>
          <w:color w:val="1A1A1A"/>
          <w:sz w:val="36"/>
          <w:szCs w:val="36"/>
        </w:rPr>
        <w:t xml:space="preserve">**ويقولُ أبو داودَ السِّجِستانيُّ ﵀** ـ صاحبُ </w:t>
      </w:r>
      <w:r>
        <w:rPr>
          <w:b/>
          <w:bCs/>
          <w:color w:val="1F5C3A"/>
          <w:sz w:val="36"/>
          <w:szCs w:val="36"/>
        </w:rPr>
        <w:t xml:space="preserve">«السنن»</w:t>
      </w:r>
      <w:r>
        <w:rPr>
          <w:color w:val="1A1A1A"/>
          <w:sz w:val="36"/>
          <w:szCs w:val="36"/>
        </w:rPr>
        <w:t xml:space="preserve"> وتلميذُ أحمد:</w:t>
      </w:r>
    </w:p>
    <w:p>
      <w:pPr>
        <w:pBdr>
          <w:right w:val="single" w:sz="12" w:space="10" w:color="8A6A1F"/>
        </w:pBdr>
        <w:spacing w:before="120" w:after="160" w:line="320" w:lineRule="auto"/>
        <w:ind w:left="504" w:right="504"/>
        <w:jc w:val="both"/>
      </w:pPr>
      <w:r>
        <w:rPr>
          <w:b/>
          <w:bCs/>
          <w:color w:val="1F5C3A"/>
          <w:sz w:val="36"/>
          <w:szCs w:val="36"/>
        </w:rPr>
        <w:t xml:space="preserve">«صحِبتُ أحمدَ بنَ حنبلٍ سِنينَ فما رأيتُه ذكَرَ الدنيا قطّ»</w:t>
      </w:r>
      <w:r>
        <w:rPr>
          <w:rStyle w:val="a5"/>
          <w:sz w:val="36"/>
          <w:szCs w:val="36"/>
        </w:rPr>
        <w:footnoteReference w:id="4"/>
      </w:r>
    </w:p>
    <w:p>
      <w:pPr>
        <w:spacing w:after="140" w:line="340" w:lineRule="auto"/>
        <w:jc w:val="both"/>
      </w:pPr>
      <w:r>
        <w:rPr>
          <w:color w:val="1A1A1A"/>
          <w:sz w:val="36"/>
          <w:szCs w:val="36"/>
        </w:rPr>
        <w:t xml:space="preserve">**واليومَ نبيعُ ديننا بعَرَضٍ من الدنيا؛ ثم نقول: نريدُ أن نكونَ كأحمد! كلّا؛ لن يكونَ علماءُ الأمَّةِ كأحمدَ إلا إذا ساروا على طريقِ أحمدَ المَبنيِّ على منهجِ محمدٍ ﷺ.**</w:t>
      </w:r>
    </w:p>
    <w:p>
      <w:pPr>
        <w:spacing w:before="260" w:after="120"/>
      </w:pPr>
      <w:r>
        <w:rPr>
          <w:b/>
          <w:bCs/>
          <w:color w:val="1F5C3A"/>
          <w:sz w:val="36"/>
          <w:szCs w:val="36"/>
        </w:rPr>
        <w:t xml:space="preserve">النظرةُ الثالثة: الخوفُ من النعيمِ المُعجَّل</w:t>
      </w:r>
    </w:p>
    <w:p>
      <w:pPr>
        <w:spacing w:after="140" w:line="340" w:lineRule="auto"/>
        <w:jc w:val="both"/>
      </w:pPr>
      <w:r>
        <w:rPr>
          <w:color w:val="1A1A1A"/>
          <w:sz w:val="36"/>
          <w:szCs w:val="36"/>
        </w:rPr>
        <w:t xml:space="preserve">**فإذا فتحَ اللهُ عليك فأغناك بمالٍ أو جاهٍ أو منصب ـ فلا تغتَرَّ وكُنْ على وَجَل.** فقد كان الأوَّلون **إذا أقبلَتْ عليهمُ الدنيا أدبَروا عنها بقلوبِهم**؛ قال إبراهيمُ التيميُّ ﵀ لأهلِ زمانِه: **</w:t>
      </w:r>
      <w:r>
        <w:rPr>
          <w:b/>
          <w:bCs/>
          <w:color w:val="1F5C3A"/>
          <w:sz w:val="36"/>
          <w:szCs w:val="36"/>
        </w:rPr>
        <w:t xml:space="preserve">«أقبلَتْ عليهمُ الدنيا فأدبَروا عنها، وأدبَرَتْ عنكم فاتَّبَعتُموها»</w:t>
      </w:r>
      <w:r>
        <w:rPr>
          <w:color w:val="1A1A1A"/>
          <w:sz w:val="36"/>
          <w:szCs w:val="36"/>
        </w:rPr>
        <w:t xml:space="preserve">.**</w:t>
      </w:r>
    </w:p>
    <w:p>
      <w:pPr>
        <w:spacing w:after="140" w:line="340" w:lineRule="auto"/>
        <w:jc w:val="both"/>
      </w:pPr>
      <w:r>
        <w:rPr>
          <w:color w:val="1A1A1A"/>
          <w:sz w:val="36"/>
          <w:szCs w:val="36"/>
        </w:rPr>
        <w:t xml:space="preserve">**وهذا عبدُ الرحمنِ بنُ عوفٍ ﵁** ـ من أثرياءِ الصحابة ـ **أُتيَ يومًا بطعامٍ وكان صائمًا، فنظرَ إليه وقال:**</w:t>
      </w:r>
    </w:p>
    <w:p>
      <w:pPr>
        <w:pBdr>
          <w:right w:val="single" w:sz="12" w:space="10" w:color="8A6A1F"/>
        </w:pBdr>
        <w:spacing w:before="120" w:after="160" w:line="320" w:lineRule="auto"/>
        <w:ind w:left="504" w:right="504"/>
        <w:jc w:val="both"/>
      </w:pPr>
      <w:r>
        <w:rPr>
          <w:b/>
          <w:bCs/>
          <w:color w:val="1F5C3A"/>
          <w:sz w:val="36"/>
          <w:szCs w:val="36"/>
        </w:rPr>
        <w:t xml:space="preserve">«قُتِلَ مُصعَبُ بنُ عُمَيرٍ وهو خيرٌ مني، كُفِّنَ في بُردة؛ إن غُطِّيَ رأسُه بدَتْ رِجلاه، وإن غُطِّيَ رِجلاه بدا رأسُه... ثم بُسِطَ لنا من الدنيا ما بُسِط ـ وقد خَشينا أن تكونَ حسناتُنا عُجِّلَتْ لنا»</w:t>
      </w:r>
      <w:r>
        <w:rPr>
          <w:b/>
          <w:bCs/>
          <w:color w:val="1F5C3A"/>
          <w:sz w:val="36"/>
          <w:szCs w:val="36"/>
        </w:rPr>
        <w:t xml:space="preserve"> ـ **ثم جعلَ يبكي حتى ترَكَ الطعام**</w:t>
      </w:r>
      <w:r>
        <w:rPr>
          <w:rStyle w:val="a5"/>
          <w:sz w:val="36"/>
          <w:szCs w:val="36"/>
        </w:rPr>
        <w:footnoteReference w:id="5"/>
      </w:r>
    </w:p>
    <w:p>
      <w:pPr>
        <w:spacing w:after="140" w:line="340" w:lineRule="auto"/>
        <w:jc w:val="both"/>
      </w:pPr>
      <w:r>
        <w:rPr>
          <w:color w:val="1A1A1A"/>
          <w:sz w:val="36"/>
          <w:szCs w:val="36"/>
        </w:rPr>
        <w:t xml:space="preserve">**وهذا عمرُ بنُ عبد العزيزِ ﵀** ـ أقبلَتْ عليه خلافةُ الدنيا فأخذَها بيدِه ورفَضَها بقلبِه؛ فساسَ الناسَ بالعدلِ وردَّ المظالمَ وأحيا الدين. **يُروى أنه اشتهى في آخِرِ حياتِه عُنقودَ عِنَب، فقال لزوجتِه فاطمة: هل عندنا درهمٌ نشتري به؟ قالت: لا.** فقالت: **بيتُ أميرِ المؤمنينَ وليس فيه درهم؟!** فقال:</w:t>
      </w:r>
    </w:p>
    <w:p>
      <w:pPr>
        <w:pBdr>
          <w:right w:val="single" w:sz="12" w:space="10" w:color="8A6A1F"/>
        </w:pBdr>
        <w:spacing w:before="120" w:after="160" w:line="320" w:lineRule="auto"/>
        <w:ind w:left="504" w:right="504"/>
        <w:jc w:val="both"/>
      </w:pPr>
      <w:r>
        <w:rPr>
          <w:b/>
          <w:bCs/>
          <w:color w:val="1F5C3A"/>
          <w:sz w:val="36"/>
          <w:szCs w:val="36"/>
        </w:rPr>
        <w:t xml:space="preserve">«يا فاطمة، هذا أهوَنُ عليَّ من مُعالَجةِ الأغلالِ يومَ القيامة»</w:t>
      </w:r>
      <w:r>
        <w:rPr>
          <w:rStyle w:val="a5"/>
          <w:sz w:val="36"/>
          <w:szCs w:val="36"/>
        </w:rPr>
        <w:footnoteReference w:id="6"/>
      </w:r>
    </w:p>
    <w:p>
      <w:pPr>
        <w:spacing w:after="140" w:line="340" w:lineRule="auto"/>
        <w:jc w:val="both"/>
      </w:pPr>
      <w:r>
        <w:rPr>
          <w:color w:val="1A1A1A"/>
          <w:sz w:val="36"/>
          <w:szCs w:val="36"/>
        </w:rPr>
        <w:t xml:space="preserve">**يا أكَلةَ الأموال: إنها النارُ فاتَّقوا النار!**</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حقَّ حمدِه، والصلاةُ والسلامُ على نبيِّه وعبدِه، وعلى آلِه وصحبِه ومن سار على دربِه إلى يومِ يُبعَثون. أمّا بعدُ، أحبَّتي في الله:</w:t>
      </w:r>
    </w:p>
    <w:p>
      <w:pPr>
        <w:spacing w:before="260" w:after="120"/>
      </w:pPr>
      <w:r>
        <w:rPr>
          <w:b/>
          <w:bCs/>
          <w:color w:val="1F5C3A"/>
          <w:sz w:val="36"/>
          <w:szCs w:val="36"/>
        </w:rPr>
        <w:t xml:space="preserve">النظرةُ الرابعة: الاشتغالُ بالعبادة</w:t>
      </w:r>
    </w:p>
    <w:p>
      <w:pPr>
        <w:spacing w:after="140" w:line="340" w:lineRule="auto"/>
        <w:jc w:val="both"/>
      </w:pPr>
      <w:r>
        <w:rPr>
          <w:color w:val="1A1A1A"/>
          <w:sz w:val="36"/>
          <w:szCs w:val="36"/>
        </w:rPr>
        <w:t xml:space="preserve">**فما خلَقَ اللهُ الجنَّ والإنسَ إلا للعبادة:** </w:t>
      </w:r>
      <w:r>
        <w:rPr>
          <w:b/>
          <w:bCs/>
          <w:color w:val="8A6A1F"/>
          <w:sz w:val="36"/>
          <w:szCs w:val="36"/>
        </w:rPr>
        <w:t xml:space="preserve">﴿وَمَا خَلَقْتُ الْجِنَّ وَالْإِنسَ إِلَّا لِيَعْبُدُونِ﴾</w:t>
      </w:r>
      <w:r>
        <w:rPr>
          <w:color w:val="1A1A1A"/>
          <w:sz w:val="36"/>
          <w:szCs w:val="36"/>
        </w:rPr>
        <w:t xml:space="preserve">. **فإيّاك أن تكونَ عبدًا لدينارِك ودرهمِك.**</w:t>
      </w:r>
    </w:p>
    <w:p>
      <w:pPr>
        <w:spacing w:after="140" w:line="340" w:lineRule="auto"/>
        <w:jc w:val="both"/>
      </w:pPr>
      <w:r>
        <w:rPr>
          <w:color w:val="1A1A1A"/>
          <w:sz w:val="36"/>
          <w:szCs w:val="36"/>
        </w:rPr>
        <w:t xml:space="preserve">**واحفَظوها عن أخيكم: الزاهدُ عابد.** أمّا الذي انزوى ولم يعبُدِ الله ـ رقَّعَ ثوبَه وأطالَ شعرَه وهامَ في الطُّرُقات، أو جاءه الناسُ يتمسَّحون به ويتبرَّكون ـ **فليس بزاهد**.</w:t>
      </w:r>
    </w:p>
    <w:p>
      <w:pPr>
        <w:spacing w:after="140" w:line="340" w:lineRule="auto"/>
        <w:jc w:val="both"/>
      </w:pPr>
      <w:r>
        <w:rPr>
          <w:color w:val="1A1A1A"/>
          <w:sz w:val="36"/>
          <w:szCs w:val="36"/>
        </w:rPr>
        <w:t xml:space="preserve">**فالزهدُ ليس في ثوبٍ مُرقَّعٍ ولا في قِلَّةِ مالٍ وجاه؛ إنما الزهدُ عملٌ قلبيّ: أن تجعَلَ الدنيا مَطيَّةً للآخرة.** **فقد يكونُ العبدُ زاهدًا وهو أغنى الناس؛ وقد تكونُ عبدًا للدنيا وأنت أفقرُ الناسِ تتحسَّرُ عليها ـ لأنها ما جاءَتْك!**</w:t>
      </w:r>
    </w:p>
    <w:p>
      <w:pPr>
        <w:spacing w:after="140" w:line="340" w:lineRule="auto"/>
        <w:jc w:val="both"/>
      </w:pPr>
      <w:r>
        <w:rPr>
          <w:color w:val="1A1A1A"/>
          <w:sz w:val="36"/>
          <w:szCs w:val="36"/>
        </w:rPr>
        <w:t xml:space="preserve">**وكم انخدَعْنا في أقوامٍ ظنَنّاهم على زهدٍ وصلاح؛ فلمّا جاءَتْهمُ الدنيا بزُخرُفِها طلَّقوا الآخرةَ ثلاثًا.**</w:t>
      </w:r>
    </w:p>
    <w:p>
      <w:pPr>
        <w:spacing w:before="260" w:after="120"/>
      </w:pPr>
      <w:r>
        <w:rPr>
          <w:b/>
          <w:bCs/>
          <w:color w:val="1F5C3A"/>
          <w:sz w:val="36"/>
          <w:szCs w:val="36"/>
        </w:rPr>
        <w:t xml:space="preserve">النظرةُ الخامسة: البُعدُ عن الشُّبُهات</w:t>
      </w:r>
    </w:p>
    <w:p>
      <w:pPr>
        <w:spacing w:after="140" w:line="340" w:lineRule="auto"/>
        <w:jc w:val="both"/>
      </w:pPr>
      <w:r>
        <w:rPr>
          <w:color w:val="1A1A1A"/>
          <w:sz w:val="36"/>
          <w:szCs w:val="36"/>
        </w:rPr>
        <w:t xml:space="preserve">**فإنّ الذي يتَّقي الشُّبُهاتِ هو الزاهد.** أمّا العبدُ الذي لا يتورَّعُ عن بيعٍ مُحرَّم ـ تقولُ له: هذا لا يجوز، فيقول: المسألةُ فيها خلاف! ـ **فالراتِعُ في الشُّبُهاتِ كالراعي يرعى حول الحِمى يُوشِكُ أن يَرتَعَ فيه**؛ قال ﷺ:</w:t>
      </w:r>
    </w:p>
    <w:p>
      <w:pPr>
        <w:pBdr>
          <w:right w:val="single" w:sz="12" w:space="10" w:color="8A6A1F"/>
        </w:pBdr>
        <w:spacing w:before="120" w:after="160" w:line="320" w:lineRule="auto"/>
        <w:ind w:left="504" w:right="504"/>
        <w:jc w:val="both"/>
      </w:pPr>
      <w:r>
        <w:rPr>
          <w:b/>
          <w:bCs/>
          <w:color w:val="1F5C3A"/>
          <w:sz w:val="36"/>
          <w:szCs w:val="36"/>
        </w:rPr>
        <w:t xml:space="preserve">«الحلالُ بيِّنٌ والحرامُ بيِّن، وبينهما مُشتَبِهاتٌ لا يعلَمُهنَّ كثيرٌ من الناس؛ فمنِ اتَّقى الشُّبُهاتِ استبرأَ لدينِه وعِرضِه»</w:t>
      </w:r>
      <w:r>
        <w:rPr>
          <w:rStyle w:val="a5"/>
          <w:sz w:val="36"/>
          <w:szCs w:val="36"/>
        </w:rPr>
        <w:footnoteReference w:id="7"/>
      </w:r>
    </w:p>
    <w:p>
      <w:pPr>
        <w:spacing w:after="140" w:line="340" w:lineRule="auto"/>
        <w:jc w:val="both"/>
      </w:pPr>
      <w:r>
        <w:rPr>
          <w:color w:val="1A1A1A"/>
          <w:sz w:val="36"/>
          <w:szCs w:val="36"/>
        </w:rPr>
        <w:t xml:space="preserve">**وقال عمرُ ﵁:**</w:t>
      </w:r>
    </w:p>
    <w:p>
      <w:pPr>
        <w:pBdr>
          <w:right w:val="single" w:sz="12" w:space="10" w:color="8A6A1F"/>
        </w:pBdr>
        <w:spacing w:before="120" w:after="160" w:line="320" w:lineRule="auto"/>
        <w:ind w:left="504" w:right="504"/>
        <w:jc w:val="both"/>
      </w:pPr>
      <w:r>
        <w:rPr>
          <w:b/>
          <w:bCs/>
          <w:color w:val="1F5C3A"/>
          <w:sz w:val="36"/>
          <w:szCs w:val="36"/>
        </w:rPr>
        <w:t xml:space="preserve">«لو أنكم صُمتُم حتى تكونوا كالأوتار، وصلَّيتُم حتى تكونوا كالحَنايا ـ ما نفَعَكم ذلك حتى يكونَ لكم وَرَعٌ حاجِزٌ عن محارمِ الله»</w:t>
      </w:r>
      <w:r>
        <w:rPr>
          <w:rStyle w:val="a5"/>
          <w:sz w:val="36"/>
          <w:szCs w:val="36"/>
        </w:rPr>
        <w:footnoteReference w:id="8"/>
      </w:r>
    </w:p>
    <w:p>
      <w:pPr>
        <w:spacing w:before="260" w:after="120"/>
      </w:pPr>
      <w:r>
        <w:rPr>
          <w:b/>
          <w:bCs/>
          <w:color w:val="1F5C3A"/>
          <w:sz w:val="36"/>
          <w:szCs w:val="36"/>
        </w:rPr>
        <w:t xml:space="preserve">النظرةُ السادسة: الإكثارُ من ذِكرِ الموت</w:t>
      </w:r>
    </w:p>
    <w:p>
      <w:pPr>
        <w:spacing w:after="140" w:line="340" w:lineRule="auto"/>
        <w:jc w:val="both"/>
      </w:pPr>
      <w:r>
        <w:rPr>
          <w:color w:val="1A1A1A"/>
          <w:sz w:val="36"/>
          <w:szCs w:val="36"/>
        </w:rPr>
        <w:t xml:space="preserve">**فالعبدُ الذي يُكثِرُ من ذِكرِ الموتِ حَريٌّ به أن يزهَدَ في الدنيا.** قال ﷺ:</w:t>
      </w:r>
    </w:p>
    <w:p>
      <w:pPr>
        <w:pBdr>
          <w:right w:val="single" w:sz="12" w:space="10" w:color="8A6A1F"/>
        </w:pBdr>
        <w:spacing w:before="120" w:after="160" w:line="320" w:lineRule="auto"/>
        <w:ind w:left="504" w:right="504"/>
        <w:jc w:val="both"/>
      </w:pPr>
      <w:r>
        <w:rPr>
          <w:b/>
          <w:bCs/>
          <w:color w:val="1F5C3A"/>
          <w:sz w:val="36"/>
          <w:szCs w:val="36"/>
        </w:rPr>
        <w:t xml:space="preserve">«كنتُ نهيتُكم عن زيارةِ القبورِ فزوروها؛ فإنها تُزهِّدُ في الدنيا وتُذكِّرُ الآخرة»</w:t>
      </w:r>
      <w:r>
        <w:rPr>
          <w:rStyle w:val="a5"/>
          <w:sz w:val="36"/>
          <w:szCs w:val="36"/>
        </w:rPr>
        <w:footnoteReference w:id="9"/>
      </w:r>
    </w:p>
    <w:p>
      <w:pPr>
        <w:spacing w:after="140" w:line="340" w:lineRule="auto"/>
        <w:jc w:val="both"/>
      </w:pPr>
      <w:r>
        <w:rPr>
          <w:color w:val="1A1A1A"/>
          <w:sz w:val="36"/>
          <w:szCs w:val="36"/>
        </w:rPr>
        <w:t xml:space="preserve">**وقد دخلَ رجلٌ على أبي ذَرٍّ ﵁ ـ وكان من أزهدِ الصحابة ـ فقلَّبَ بصرَه في دارِه فلم يرَ متاعًا، فقال: أين متاعُك؟ قال: إنّ لنا بيتًا نُوجِّهُ إليه خيرَ متاعِنا. قال: إنه لا بدَّ لك من متاعٍ ما دُمتَ ها هنا. قال:**</w:t>
      </w:r>
    </w:p>
    <w:p>
      <w:pPr>
        <w:pBdr>
          <w:right w:val="single" w:sz="12" w:space="10" w:color="8A6A1F"/>
        </w:pBdr>
        <w:spacing w:before="120" w:after="160" w:line="320" w:lineRule="auto"/>
        <w:ind w:left="504" w:right="504"/>
        <w:jc w:val="both"/>
      </w:pPr>
      <w:r>
        <w:rPr>
          <w:b/>
          <w:bCs/>
          <w:color w:val="1F5C3A"/>
          <w:sz w:val="36"/>
          <w:szCs w:val="36"/>
        </w:rPr>
        <w:t xml:space="preserve">«إنّ صاحبَ المنزلِ لا يَدَعُنا فيه»</w:t>
      </w:r>
      <w:r>
        <w:rPr>
          <w:rStyle w:val="a5"/>
          <w:sz w:val="36"/>
          <w:szCs w:val="36"/>
        </w:rPr>
        <w:footnoteReference w:id="10"/>
      </w:r>
    </w:p>
    <w:p>
      <w:pPr>
        <w:spacing w:after="140" w:line="340" w:lineRule="auto"/>
        <w:jc w:val="both"/>
      </w:pPr>
      <w:r>
        <w:rPr>
          <w:color w:val="1A1A1A"/>
          <w:sz w:val="36"/>
          <w:szCs w:val="36"/>
        </w:rPr>
        <w:t xml:space="preserve">**فلو كانت الدنيا مُستمِرَّةً لاتَّخَذْنا القصور؛ ولكنّك راحلٌ، فكُنْ عاقلًا وازهَدْ في دنياك تفُزْ بأُخراك.**</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أسألُ اللهَ جلَّ في عُلاه أن يُطهِّرَ قلوبَنا من عبوديةِ الدنيا، وأن يرزُقَنا الإقبالَ على الآخرة؛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حكايةٌ في كتبِ الزهدِ والرقائقِ تُروى في تمثيلِ الدنيا، تُذكَرُ للاعتبارِ لا للاحتجاج.</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الإمام أحمدَ ﵀؛ نقلَها ابنُ الجوزيِّ في «مناقب الإمام أحمد».</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من حديث أنسٍ وزيدِ بنِ ثابتٍ ﵄، وصححه الألباني.</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الإمام أحمدَ ﵀؛ رواها ابنُ الجوزيِّ في «المناقب» والذهبيُّ في «السير».</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عبد الرحمن بن عوف ﵁.</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عمر بن عبد العزيز ﵀؛ رواها ابنُ عبد الحكم في «سيرة عمر بن عبد العزيز» وأبو نُعيمٍ في «الحلية».</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النعمان بن بشير ﵄.</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عمر بن الخطاب ﵁؛ رواه ابنُ أبي الدنيا في «الورع» والبيهقيُّ في «الشعب».</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بُرَيدةَ ﵁؛ وزيادةُ «تُزهِّدُ في الدنيا» عند ابن ماجه، وحسَّنها الألباني.</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أبي ذرٍّ ﵁؛ ذكرَه ابنُ أبي الدنيا في «قِصَر الأمل» وأبو نُعيمٍ في «الحلية».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