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الإسراءُ والمعراج: عظاتٌ وعِبَر</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الأقصى عقيدة — وإلى متى أيّها المغتابون؟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بعد عشر سنين من الألم والصدّ، وبعد سنواتٍ عِجافٍ من قلّة المستجيب</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ينفرجُ سقفُ بيته ﷺ مُؤذِنًا بنورٍ عظيمٍ وفتحٍ مبين</w:t>
      </w:r>
      <w:r>
        <w:rPr>
          <w:rFonts w:ascii="Traditional Arabic" w:cs="Traditional Arabic" w:eastAsia="Traditional Arabic" w:hAnsi="Traditional Arabic"/>
          <w:b w:val="false"/>
          <w:bCs w:val="false"/>
          <w:i w:val="false"/>
          <w:iCs w:val="false"/>
          <w:sz w:val="28"/>
          <w:szCs w:val="28"/>
          <w:rtl/>
        </w:rPr>
        <w:t xml:space="preserve">. ينزل الأمينُ جبريلُ بطَسْتٍ من ذهب، فيشقُّ صدرَه ﷺ، ثم يُخرج القلبَ فيغسله، ثم يُعيده مكانه ويَلْأَمُ الجرح — </w:t>
      </w:r>
      <w:r>
        <w:rPr>
          <w:rFonts w:ascii="Traditional Arabic" w:cs="Traditional Arabic" w:eastAsia="Traditional Arabic" w:hAnsi="Traditional Arabic"/>
          <w:b/>
          <w:bCs/>
          <w:i w:val="false"/>
          <w:iCs w:val="false"/>
          <w:sz w:val="28"/>
          <w:szCs w:val="28"/>
          <w:rtl/>
        </w:rPr>
        <w:t xml:space="preserve">استعدادًا لرحلةٍ أرضيّةٍ وأخرى سماويّة</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ويأتي البُراق، فيتمنّع، </w:t>
      </w:r>
      <w:r>
        <w:rPr>
          <w:rFonts w:ascii="Traditional Arabic" w:cs="Traditional Arabic" w:eastAsia="Traditional Arabic" w:hAnsi="Traditional Arabic"/>
          <w:b/>
          <w:bCs/>
          <w:i w:val="false"/>
          <w:iCs w:val="false"/>
          <w:sz w:val="28"/>
          <w:szCs w:val="28"/>
          <w:rtl/>
        </w:rPr>
        <w:t xml:space="preserve">فيقول جبريل: «يا بُراق، أبِمُحمدٍ تفعل هذا؟! فواللهِ ما ركبك أحدٌ أكرمُ على الله منه»</w:t>
      </w:r>
      <w:r>
        <w:rPr>
          <w:rStyle w:val="FootnoteReference"/>
        </w:rPr>
        <w:footnoteReference w:id="5"/>
      </w:r>
      <w:r>
        <w:rPr>
          <w:rFonts w:ascii="Traditional Arabic" w:cs="Traditional Arabic" w:eastAsia="Traditional Arabic" w:hAnsi="Traditional Arabic"/>
          <w:b w:val="false"/>
          <w:bCs w:val="false"/>
          <w:i w:val="false"/>
          <w:iCs w:val="false"/>
          <w:sz w:val="28"/>
          <w:szCs w:val="28"/>
          <w:rtl/>
        </w:rPr>
        <w:t xml:space="preserve">. فامتطاه ﷺ فانطلق إلى بيت المقدس، </w:t>
      </w:r>
      <w:r>
        <w:rPr>
          <w:rFonts w:ascii="Traditional Arabic" w:cs="Traditional Arabic" w:eastAsia="Traditional Arabic" w:hAnsi="Traditional Arabic"/>
          <w:b/>
          <w:bCs/>
          <w:i w:val="false"/>
          <w:iCs w:val="false"/>
          <w:sz w:val="28"/>
          <w:szCs w:val="28"/>
          <w:rtl/>
        </w:rPr>
        <w:t xml:space="preserve">فربط البُراقَ بالحلقة التي كان يربط بها الأنبياء، ثم صلّى بهم إمامًا</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ثم عُرِج به: فلقي </w:t>
      </w:r>
      <w:r>
        <w:rPr>
          <w:rFonts w:ascii="Traditional Arabic" w:cs="Traditional Arabic" w:eastAsia="Traditional Arabic" w:hAnsi="Traditional Arabic"/>
          <w:b/>
          <w:bCs/>
          <w:i w:val="false"/>
          <w:iCs w:val="false"/>
          <w:sz w:val="28"/>
          <w:szCs w:val="28"/>
          <w:rtl/>
        </w:rPr>
        <w:t xml:space="preserve">آدمَ في السماء الأولى، وعيسى ويحيى — ابنَي الخالة — في الثانية، ويوسفَ في الثالثة، وإدريسَ في الرابعة، وهارونَ في الخامسة، وموسى في السادسة، وإبراهيمَ في السابعة مُسنِدًا ظهرَه إلى البيت المعمور</w:t>
      </w:r>
      <w:r>
        <w:rPr>
          <w:rFonts w:ascii="Traditional Arabic" w:cs="Traditional Arabic" w:eastAsia="Traditional Arabic" w:hAnsi="Traditional Arabic"/>
          <w:b w:val="false"/>
          <w:bCs w:val="false"/>
          <w:i w:val="false"/>
          <w:iCs w:val="false"/>
          <w:sz w:val="28"/>
          <w:szCs w:val="28"/>
          <w:rtl/>
        </w:rPr>
        <w:t xml:space="preserve">. ثم انتهى إلى </w:t>
      </w:r>
      <w:r>
        <w:rPr>
          <w:rFonts w:ascii="Traditional Arabic" w:cs="Traditional Arabic" w:eastAsia="Traditional Arabic" w:hAnsi="Traditional Arabic"/>
          <w:b/>
          <w:bCs/>
          <w:i w:val="false"/>
          <w:iCs w:val="false"/>
          <w:sz w:val="28"/>
          <w:szCs w:val="28"/>
          <w:rtl/>
        </w:rPr>
        <w:t xml:space="preserve">سِدرة المنتهى — عندها جنّةُ المأوى — حيث يسمع صريفَ الأقلام؛ ولا يستطيع جبريلُ أن يتقدّم خطوة</w:t>
      </w:r>
      <w:r>
        <w:rPr>
          <w:rFonts w:ascii="Traditional Arabic" w:cs="Traditional Arabic" w:eastAsia="Traditional Arabic" w:hAnsi="Traditional Arabic"/>
          <w:b w:val="false"/>
          <w:bCs w:val="false"/>
          <w:i w:val="false"/>
          <w:iCs w:val="false"/>
          <w:sz w:val="28"/>
          <w:szCs w:val="28"/>
          <w:rtl/>
        </w:rPr>
        <w:t xml:space="preserve">. متفقٌ عليه.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الوقفة الأولى: كلّما اشتدّ البلاء جاء النصرُ من السماء</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فقد مرّت عليه ﷺ سنواتٌ عِجافٌ من الصدّ والكفران من أهل مكّة والطائف؛ </w:t>
      </w:r>
      <w:r>
        <w:rPr>
          <w:rFonts w:ascii="Traditional Arabic" w:cs="Traditional Arabic" w:eastAsia="Traditional Arabic" w:hAnsi="Traditional Arabic"/>
          <w:b/>
          <w:bCs/>
          <w:i w:val="false"/>
          <w:iCs w:val="false"/>
          <w:sz w:val="28"/>
          <w:szCs w:val="28"/>
          <w:rtl/>
        </w:rPr>
        <w:t xml:space="preserve">فلمّا بلغ البلاءُ أعلاه توالت البشائرُ والفتوحات</w:t>
      </w:r>
      <w:r>
        <w:rPr>
          <w:rFonts w:ascii="Traditional Arabic" w:cs="Traditional Arabic" w:eastAsia="Traditional Arabic" w:hAnsi="Traditional Arabic"/>
          <w:b w:val="false"/>
          <w:bCs w:val="false"/>
          <w:i w:val="false"/>
          <w:iCs w:val="false"/>
          <w:sz w:val="28"/>
          <w:szCs w:val="28"/>
          <w:rtl/>
        </w:rPr>
        <w:t xml:space="preserve">، ومن أعظمها تأييدُ السماء بهذه الرحلة.</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وهكذا شأنُ هذا الدين: </w:t>
      </w:r>
      <w:r>
        <w:rPr>
          <w:rFonts w:ascii="Traditional Arabic" w:cs="Traditional Arabic" w:eastAsia="Traditional Arabic" w:hAnsi="Traditional Arabic"/>
          <w:b/>
          <w:bCs/>
          <w:i w:val="false"/>
          <w:iCs w:val="false"/>
          <w:sz w:val="28"/>
          <w:szCs w:val="28"/>
          <w:rtl/>
        </w:rPr>
        <w:t xml:space="preserve">كلّما قلَّ نصيرُ الأرض تنزّل نصرُ السماء</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فلا تلتفتْ إلى المخذِّلين؛ ﴿إِن تَنصُرُوا اللَّهَ يَنصُرْكُمْ وَيُثَبِّتْ أَقْدَامَكُمْ﴾</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الوقفة الثانية: الأقصى لنا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ولماذا أُسرِيَ به من مكّة إلى بيت المقدس؟ </w:t>
      </w:r>
      <w:r>
        <w:rPr>
          <w:rFonts w:ascii="Traditional Arabic" w:cs="Traditional Arabic" w:eastAsia="Traditional Arabic" w:hAnsi="Traditional Arabic"/>
          <w:b/>
          <w:bCs/>
          <w:i w:val="false"/>
          <w:iCs w:val="false"/>
          <w:sz w:val="28"/>
          <w:szCs w:val="28"/>
          <w:rtl/>
        </w:rPr>
        <w:t xml:space="preserve">ألم يكن بالإمكان أن يُعرَج به من الكعبة؟!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كلّا — إنّها رسالةٌ سماويّة: أنّ الأقصى عقيدة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فليس قضيّةً تخصُّ الفلسطينيّين، ولا صارت اليوم خاصّةً بأهل غزّة</w:t>
      </w:r>
      <w:r>
        <w:rPr>
          <w:rFonts w:ascii="Traditional Arabic" w:cs="Traditional Arabic" w:eastAsia="Traditional Arabic" w:hAnsi="Traditional Arabic"/>
          <w:b w:val="false"/>
          <w:bCs w:val="false"/>
          <w:i w:val="false"/>
          <w:iCs w:val="false"/>
          <w:sz w:val="28"/>
          <w:szCs w:val="28"/>
          <w:rtl/>
        </w:rPr>
        <w:t xml:space="preserve">؛ بل </w:t>
      </w:r>
      <w:r>
        <w:rPr>
          <w:rFonts w:ascii="Traditional Arabic" w:cs="Traditional Arabic" w:eastAsia="Traditional Arabic" w:hAnsi="Traditional Arabic"/>
          <w:b/>
          <w:bCs/>
          <w:i w:val="false"/>
          <w:iCs w:val="false"/>
          <w:sz w:val="28"/>
          <w:szCs w:val="28"/>
          <w:rtl/>
        </w:rPr>
        <w:t xml:space="preserve">هو مَسرى نبيِّك، فيه صلّى بالأنبياء — ليُوصِل للبشريّة أنّ الأقصى لنا ونحن أحقُّ به</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ومن عجيب ما يُروى في هذا: </w:t>
      </w:r>
      <w:r>
        <w:rPr>
          <w:rFonts w:ascii="Traditional Arabic" w:cs="Traditional Arabic" w:eastAsia="Traditional Arabic" w:hAnsi="Traditional Arabic"/>
          <w:b/>
          <w:bCs/>
          <w:i w:val="false"/>
          <w:iCs w:val="false"/>
          <w:sz w:val="28"/>
          <w:szCs w:val="28"/>
          <w:rtl/>
        </w:rPr>
        <w:t xml:space="preserve">أنّ أبا سفيان — قبل إسلامه — لَمّا سأله هرقلُ عن النبيّ ﷺ، ذكر له أنّه يزعم أنّه أُسريَ به إلى مسجدهم في ليلة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فقال رجلٌ من بطارقة الروم كان حاضرًا: إنّي لأعلمُ تلك الليلة!</w:t>
      </w:r>
      <w:r>
        <w:rPr>
          <w:rFonts w:ascii="Traditional Arabic" w:cs="Traditional Arabic" w:eastAsia="Traditional Arabic" w:hAnsi="Traditional Arabic"/>
          <w:b w:val="false"/>
          <w:bCs w:val="false"/>
          <w:i w:val="false"/>
          <w:iCs w:val="false"/>
          <w:sz w:val="28"/>
          <w:szCs w:val="28"/>
          <w:rtl/>
        </w:rPr>
        <w:t xml:space="preserve"> قال هرقل: وما عِلمُك؟ قال: </w:t>
      </w:r>
      <w:r>
        <w:rPr>
          <w:rFonts w:ascii="Traditional Arabic" w:cs="Traditional Arabic" w:eastAsia="Traditional Arabic" w:hAnsi="Traditional Arabic"/>
          <w:b/>
          <w:bCs/>
          <w:i w:val="false"/>
          <w:iCs w:val="false"/>
          <w:sz w:val="28"/>
          <w:szCs w:val="28"/>
          <w:rtl/>
        </w:rPr>
        <w:t xml:space="preserve">كنتُ مُوكَّلًا بإغلاق أبواب المسجد، فأغلقتُ الأبوابَ كلَّها إلا بابًا واحدًا أعياني، فاستعنتُ بخدمي فلم أُفلِح، فدعوتُ النجّارين فقالوا: هذا البابُ قد سقط عليه شيء، فانتظِرِ الصباح. فلمّا جئتُ في الصباح رأيتُ أثرَ رَبْطٍ في الحجر — فعلمتُ أنّ هذا المسجدَ ما فُتِح إلا لنبيّ، وأنّه صلّى فيه تلك الليلة</w:t>
      </w:r>
      <w:r>
        <w:rPr>
          <w:rStyle w:val="FootnoteReference"/>
        </w:rPr>
        <w:footnoteReference w:id="6"/>
      </w:r>
      <w:r>
        <w:rPr>
          <w:rFonts w:ascii="Traditional Arabic" w:cs="Traditional Arabic" w:eastAsia="Traditional Arabic" w:hAnsi="Traditional Arabic"/>
          <w:b w:val="false"/>
          <w:bCs w:val="false"/>
          <w:i w:val="false"/>
          <w:iCs w:val="false"/>
          <w:sz w:val="28"/>
          <w:szCs w:val="28"/>
          <w:rtl/>
        </w:rPr>
        <w:t xml:space="preserve">.</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الوقفة الثالثة: إلى متى أيّها المغتابون؟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ولا تستغربوا هذه الانتقالة؛ </w:t>
      </w:r>
      <w:r>
        <w:rPr>
          <w:rFonts w:ascii="Traditional Arabic" w:cs="Traditional Arabic" w:eastAsia="Traditional Arabic" w:hAnsi="Traditional Arabic"/>
          <w:b/>
          <w:bCs/>
          <w:i w:val="false"/>
          <w:iCs w:val="false"/>
          <w:sz w:val="28"/>
          <w:szCs w:val="28"/>
          <w:rtl/>
        </w:rPr>
        <w:t xml:space="preserve">فمِن مشاهد المعراج مشهدٌ يخصُّ المغتابين</w:t>
      </w:r>
      <w:r>
        <w:rPr>
          <w:rFonts w:ascii="Traditional Arabic" w:cs="Traditional Arabic" w:eastAsia="Traditional Arabic" w:hAnsi="Traditional Arabic"/>
          <w:b w:val="false"/>
          <w:bCs w:val="false"/>
          <w:i w:val="false"/>
          <w:iCs w:val="false"/>
          <w:sz w:val="28"/>
          <w:szCs w:val="28"/>
          <w:rtl/>
        </w:rPr>
        <w:t xml:space="preserve">. قال ﷺ: </w:t>
      </w:r>
      <w:r>
        <w:rPr>
          <w:rFonts w:ascii="Traditional Arabic" w:cs="Traditional Arabic" w:eastAsia="Traditional Arabic" w:hAnsi="Traditional Arabic"/>
          <w:b/>
          <w:bCs/>
          <w:i w:val="false"/>
          <w:iCs w:val="false"/>
          <w:sz w:val="28"/>
          <w:szCs w:val="28"/>
          <w:rtl/>
        </w:rPr>
        <w:t xml:space="preserve">«لَمّا عُرِج بي مررتُ بقومٍ لهم أظفارٌ من نحاسٍ يخمشون وجوهَهم وصدورَهم. فقلتُ: مَن هؤلاء يا جبريل؟ قال: هؤلاء الذين يأكلون لحومَ الناس ويقعون في أعراضهم»</w:t>
      </w:r>
      <w:r>
        <w:rPr>
          <w:rStyle w:val="FootnoteReference"/>
        </w:rPr>
        <w:footnoteReference w:id="7"/>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فيا من تُمارس الغِيبةَ في أبشع صورها، </w:t>
      </w:r>
      <w:r>
        <w:rPr>
          <w:rFonts w:ascii="Traditional Arabic" w:cs="Traditional Arabic" w:eastAsia="Traditional Arabic" w:hAnsi="Traditional Arabic"/>
          <w:b/>
          <w:bCs/>
          <w:i w:val="false"/>
          <w:iCs w:val="false"/>
          <w:sz w:val="28"/>
          <w:szCs w:val="28"/>
          <w:rtl/>
        </w:rPr>
        <w:t xml:space="preserve">لا تتورّع أن تغتاب إخوانَك المسلمين والمجاهدين والعلماء والدعاة — لا يسلمُ من لسانك أحد</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كيف تقوى على أظفار النحاس؟!</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وقد بيّن ﷺ حدَّها فقال: </w:t>
      </w:r>
      <w:r>
        <w:rPr>
          <w:rFonts w:ascii="Traditional Arabic" w:cs="Traditional Arabic" w:eastAsia="Traditional Arabic" w:hAnsi="Traditional Arabic"/>
          <w:b/>
          <w:bCs/>
          <w:i w:val="false"/>
          <w:iCs w:val="false"/>
          <w:sz w:val="28"/>
          <w:szCs w:val="28"/>
          <w:rtl/>
        </w:rPr>
        <w:t xml:space="preserve">«أتدرون ما الغِيبة؟» قالوا: اللهُ ورسولُه أعلم. قال: «ذِكرُك أخاك بما يكره». قيل: أفرأيتَ إن كان في أخي ما أقول؟ قال: «إن كان فيه ما تقول فقد اغتبتَه، وإن لم يكن فيه فقد بهَتَّه»</w:t>
      </w:r>
      <w:r>
        <w:rPr>
          <w:rFonts w:ascii="Traditional Arabic" w:cs="Traditional Arabic" w:eastAsia="Traditional Arabic" w:hAnsi="Traditional Arabic"/>
          <w:b w:val="false"/>
          <w:bCs w:val="false"/>
          <w:i w:val="false"/>
          <w:iCs w:val="false"/>
          <w:sz w:val="28"/>
          <w:szCs w:val="28"/>
          <w:rtl/>
        </w:rPr>
        <w:t xml:space="preserve">. رواه مسلم. </w:t>
      </w:r>
      <w:r>
        <w:rPr>
          <w:rFonts w:ascii="Traditional Arabic" w:cs="Traditional Arabic" w:eastAsia="Traditional Arabic" w:hAnsi="Traditional Arabic"/>
          <w:b/>
          <w:bCs/>
          <w:i w:val="false"/>
          <w:iCs w:val="false"/>
          <w:sz w:val="28"/>
          <w:szCs w:val="28"/>
          <w:rtl/>
        </w:rPr>
        <w:t xml:space="preserve">فهي كبيرةٌ من الكبائر، ولو كان ما تقوله حقًّا</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فاتّقِ اللهَ في لسانك؛ </w:t>
      </w:r>
      <w:r>
        <w:rPr>
          <w:rFonts w:ascii="Traditional Arabic" w:cs="Traditional Arabic" w:eastAsia="Traditional Arabic" w:hAnsi="Traditional Arabic"/>
          <w:b/>
          <w:bCs/>
          <w:i w:val="false"/>
          <w:iCs w:val="false"/>
          <w:sz w:val="28"/>
          <w:szCs w:val="28"/>
          <w:rtl/>
        </w:rPr>
        <w:t xml:space="preserve">فإنّه سيُورِدُك المهالكَ إن لم تتّقِ اللهَ فيه</w:t>
      </w:r>
      <w:r>
        <w:rPr>
          <w:rFonts w:ascii="Traditional Arabic" w:cs="Traditional Arabic" w:eastAsia="Traditional Arabic" w:hAnsi="Traditional Arabic"/>
          <w:b/>
          <w:bCs/>
          <w:i w:val="false"/>
          <w:iCs w:val="false"/>
          <w:sz w:val="28"/>
          <w:szCs w:val="28"/>
          <w:rtl/>
        </w:rPr>
        <w:t xml:space="preserve">. جعلنا اللهُ وإيّاكم ممّن يحفظون ألسنتَهم وأسماعَهم وأبصارَهم.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من أخبار ترجمته عند البيهقي في «مناقب الشافعي» والذهبي في «السير». وأمّا العددُ الذي يُتداول فلم أقف على إسنادٍ يثبته، فيُذكر مطلقًا.</w:t>
      </w:r>
    </w:p>
  </w:footnote>
  <w:footnote w:id="2">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(١٥٣١) والنسائي وابن ماجه من حديث أوس بن أوس ﵁، وصحّحه الألباني في «صحيح أبي داود» (١٣٦٩) و«صحيح الجامع» (١٢٠٩).</w:t>
      </w:r>
    </w:p>
  </w:footnote>
  <w:footnote w:id="3">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(١/٢١٤) والنسائي في «عمل اليوم والليلة» وابن ماجه من حديث ابن عباس ﵄، وصحّحه الألباني في «السلسلة الصحيحة» (١٣٩) و«صحيح الجامع» (٧٩٠).</w:t>
      </w:r>
    </w:p>
  </w:footnote>
  <w:footnote w:id="4">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أخبارُ تأدُّب السلف مع الحديث في «الجامع لأخلاق الراوي وآداب السامع» للخطيب البغدادي، و«سير أعلام النبلاء» للذهبي. وهي من أخبار التراجم لا من المرفوع.</w:t>
      </w:r>
    </w:p>
  </w:footnote>
  <w:footnote w:id="5">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(٣١٣١) وابن حبان من حديث أنسٍ ﵁ في قصّة الإسراء. وقد ضعّف الألباني هذه الزيادةَ بخصوصها، وصحّح أصلَ حديث الإسراء؛ فتُذكر على أنّها ممّا ورد في السِّيَر لا ممّا يُحتَجُّ به.</w:t>
      </w:r>
    </w:p>
  </w:footnote>
  <w:footnote w:id="6">
    <w:p>
      <w:pPr>
        <w:bidi/>
        <w:jc w:val="right"/>
      </w:pPr>
      <w:r>
        <w:rPr>
          <w:rStyle w:val="FootnoteReference"/>
        </w:rPr>
        <w:footnoteRef/>
      </w:r>
      <w:r>
        <w:rPr>
          <w:rFonts w:ascii="Traditional Arabic" w:cs="Traditional Arabic" w:eastAsia="Traditional Arabic" w:hAnsi="Traditional Arabic"/>
          <w:sz w:val="20"/>
          <w:szCs w:val="20"/>
          <w:rtl/>
        </w:rPr>
        <w:t xml:space="preserve">خبرٌ يُذكر في بعض كتب السِّيَر والتفسير عند قصّة الإسراء، ولم أقف على إسنادٍ صحيحٍ يثبت به، ولا هو من حديث أبي سفيان الذي في «الصحيحين» في قصّة هرقل. فيُذكر على أنّه ممّا نُقل في السِّيَر لا ممّا يُحتَجُّ به، والأصلُ في الباب سورةُ الإسراء وأحاديثُ الصحيحين.</w:t>
      </w:r>
    </w:p>
  </w:footnote>
  <w:footnote w:id="7">
    <w:p>
      <w:pPr>
        <w:bidi/>
        <w:jc w:val="right"/>
      </w:pPr>
      <w:r>
        <w:rPr>
          <w:rStyle w:val="FootnoteReference"/>
        </w:rPr>
        <w:footnoteRef/>
      </w:r>
      <w:r>
        <w:rPr>
          <w:rFonts w:ascii="Traditional Arabic" w:cs="Traditional Arabic" w:eastAsia="Traditional Arabic" w:hAnsi="Traditional Arabic"/>
          <w:sz w:val="20"/>
          <w:szCs w:val="20"/>
          <w:rtl/>
        </w:rPr>
        <w:t xml:space="preserve">رواه أبو داود (٤٨٧٨) وأحمد من حديث أنسٍ ﵁، وصحّحه الألباني في «صحيح أبي داود» (٤٠٨٤) و«صحيح الجامع» (٥٢٤٣).</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الإسراءُ والمعراج — عظاتٌ وعِبَر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2026-08-01T18:11:08.575Z</dcterms:created>
  <dcterms:modified xsi:type="dcterms:W3CDTF">2026-08-01T18:11:08.575Z</dcterms:modified>
</cp:coreProperties>
</file>

<file path=docProps/custom.xml><?xml version="1.0" encoding="utf-8"?>
<Properties xmlns="http://schemas.openxmlformats.org/officeDocument/2006/custom-properties" xmlns:vt="http://schemas.openxmlformats.org/officeDocument/2006/docPropsVTypes"/>
</file>