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محبَّةُ النبيِّ ﷺ</w:t>
      </w:r>
    </w:p>
    <w:p>
      <w:pPr>
        <w:spacing w:after="120"/>
      </w:pPr>
      <w:r>
        <w:rPr>
          <w:color w:val="8A6A1F"/>
          <w:sz w:val="36"/>
          <w:szCs w:val="36"/>
        </w:rPr>
        <w:t xml:space="preserve">علاماتُ المحبَّةِ الصادقةِ ودلائلُها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كأنّ على رؤوسِهمُ الطير</w:t>
      </w:r>
    </w:p>
    <w:p>
      <w:pPr>
        <w:spacing w:after="140" w:line="340" w:lineRule="auto"/>
        <w:jc w:val="both"/>
      </w:pPr>
      <w:r>
        <w:rPr>
          <w:color w:val="1A1A1A"/>
          <w:sz w:val="36"/>
          <w:szCs w:val="36"/>
        </w:rPr>
        <w:t xml:space="preserve">وبعدُ، أحبَّتي في الله، معاشرَ المصلِّين: جلَسوا حولَه كأنّ على رؤوسِهمُ الطير. أقبلَ صاحبُنا **عُروةُ بنُ مسعودٍ** رسولًا لقريشٍ يومَ الحُدَيبية، فاستفزَّه المنظر؛ فأرادَ أن يختبِرَ صِدقَ تلك المحبَّةِ فمدَّ يدَه إلى لحيةِ النبيِّ ﷺ ـ فكادَتْ سيوفُهم تخطَفُ يدَه. فلمّا رجعَ إلى قريشٍ قال:</w:t>
      </w:r>
    </w:p>
    <w:p>
      <w:pPr>
        <w:pBdr>
          <w:right w:val="single" w:sz="12" w:space="10" w:color="8A6A1F"/>
        </w:pBdr>
        <w:spacing w:before="120" w:after="160" w:line="320" w:lineRule="auto"/>
        <w:ind w:left="504" w:right="504"/>
        <w:jc w:val="both"/>
      </w:pPr>
      <w:r>
        <w:rPr>
          <w:b/>
          <w:bCs/>
          <w:color w:val="1F5C3A"/>
          <w:sz w:val="36"/>
          <w:szCs w:val="36"/>
        </w:rPr>
        <w:t xml:space="preserve">«أَيْ قوم، واللهِ لقد وفَدتُ على الملوك، ووفَدتُ على قيصرَ وكِسرى والنجاشيّ؛ واللهِ إن رأيتُ مَلِكًا قطُّ يُعظِّمُه أصحابُه ما يُعظِّمُ أصحابُ محمدٍ محمدًا. واللهِ إن تنخَّمَ نُخامةً إلا وقعَتْ في كفِّ رجلٍ منهم فدلَكَ بها وجهَه وجِلدَه؛ وإذا أمَرَهم ابتدَروا أمرَه، وإذا توضَّأَ كادوا يقتَتِلون على وَضوئِه؛ وما يُحِدُّونَ إليه النظَرَ تعظيمًا له»</w:t>
      </w:r>
      <w:r>
        <w:rPr>
          <w:rStyle w:val="a5"/>
          <w:sz w:val="36"/>
          <w:szCs w:val="36"/>
        </w:rPr>
        <w:footnoteReference w:id="1"/>
      </w:r>
    </w:p>
    <w:p>
      <w:pPr>
        <w:spacing w:after="140" w:line="340" w:lineRule="auto"/>
        <w:jc w:val="both"/>
      </w:pPr>
      <w:r>
        <w:rPr>
          <w:color w:val="1A1A1A"/>
          <w:sz w:val="36"/>
          <w:szCs w:val="36"/>
        </w:rPr>
        <w:t xml:space="preserve">فيَحسُنُ بنا ـ في زمنِ **أدعياءِ المحبَّةِ** ورافعي شعاراتِها ـ أن نُذكِّرَ أنفسَنا بعلاماتِ **المحبَّةِ الصادقة**؛ فإنّ أدعياءَ المحبَّةِ ما أكثرَهم، وصدقَ القائل:</w:t>
      </w:r>
    </w:p>
    <w:p>
      <w:pPr>
        <w:pBdr>
          <w:right w:val="single" w:sz="12" w:space="10" w:color="8A6A1F"/>
        </w:pBdr>
        <w:spacing w:before="120" w:after="160" w:line="320" w:lineRule="auto"/>
        <w:ind w:left="504" w:right="504"/>
        <w:jc w:val="both"/>
      </w:pPr>
      <w:r>
        <w:rPr>
          <w:b/>
          <w:bCs/>
          <w:color w:val="1F5C3A"/>
          <w:sz w:val="36"/>
          <w:szCs w:val="36"/>
        </w:rPr>
        <w:t xml:space="preserve">إذا اشتبكَتْ دُموعٌ في خُدودٍ ... تبيَّنَ مَن بكى مِمَّن تَباكى</w:t>
      </w:r>
    </w:p>
    <w:p>
      <w:pPr>
        <w:spacing w:before="260" w:after="120"/>
      </w:pPr>
      <w:r>
        <w:rPr>
          <w:b/>
          <w:bCs/>
          <w:color w:val="1F5C3A"/>
          <w:sz w:val="36"/>
          <w:szCs w:val="36"/>
        </w:rPr>
        <w:t xml:space="preserve">أولًا: أن تُقدِّمَ محبَّتَه على محبَّةِ كلِّ أحد</w:t>
      </w:r>
    </w:p>
    <w:p>
      <w:pPr>
        <w:spacing w:after="140" w:line="340" w:lineRule="auto"/>
        <w:jc w:val="both"/>
      </w:pPr>
      <w:r>
        <w:rPr>
          <w:color w:val="1A1A1A"/>
          <w:sz w:val="36"/>
          <w:szCs w:val="36"/>
        </w:rPr>
        <w:t xml:space="preserve">فتُحِبَّه محبَّةً لا تُدانيها محبَّةٌ من محابِّ البشر؛ تُقدِّمُ حُبَّه على الولدِ والزوجةِ بل والوالدَينِ مع عِظَمِ حقِّهما. وقد جعلَ ﷺ ذلك أسًّا من أُسُسِ الإيمان:</w:t>
      </w:r>
    </w:p>
    <w:p>
      <w:pPr>
        <w:pBdr>
          <w:right w:val="single" w:sz="12" w:space="10" w:color="8A6A1F"/>
        </w:pBdr>
        <w:spacing w:before="120" w:after="160" w:line="320" w:lineRule="auto"/>
        <w:ind w:left="504" w:right="504"/>
        <w:jc w:val="both"/>
      </w:pPr>
      <w:r>
        <w:rPr>
          <w:b/>
          <w:bCs/>
          <w:color w:val="1F5C3A"/>
          <w:sz w:val="36"/>
          <w:szCs w:val="36"/>
        </w:rPr>
        <w:t xml:space="preserve">«لا يُؤمِنُ أحدُكم حتى أكونَ أحبَّ إليه من والدِه وولدِه والناسِ أجمعين»</w:t>
      </w:r>
      <w:r>
        <w:rPr>
          <w:rStyle w:val="a5"/>
          <w:sz w:val="36"/>
          <w:szCs w:val="36"/>
        </w:rPr>
        <w:footnoteReference w:id="2"/>
      </w:r>
    </w:p>
    <w:p>
      <w:pPr>
        <w:spacing w:after="140" w:line="340" w:lineRule="auto"/>
        <w:jc w:val="both"/>
      </w:pPr>
      <w:r>
        <w:rPr>
          <w:color w:val="1A1A1A"/>
          <w:sz w:val="36"/>
          <w:szCs w:val="36"/>
        </w:rPr>
        <w:t xml:space="preserve">ولقد فتَّشتُ كثيرًا في السرِّ الذي **قدَّمَ الصِّدِّيقَ** على سائرِ الصحابة؛ فإنّ أبا بكرٍ ﵁ لم يكُنْ جهادُه كجهادِ خالد، ولا خلافتُه في طولِ خلافةِ عمر، ولا إنفاقُه كإنفاقِ عثمانَ ﵃ في تجهيزِ العُسْرة. فما الذي قدَّمَه؟</w:t>
      </w:r>
    </w:p>
    <w:p>
      <w:pPr>
        <w:spacing w:after="140" w:line="340" w:lineRule="auto"/>
        <w:jc w:val="both"/>
      </w:pPr>
      <w:r>
        <w:rPr>
          <w:color w:val="1A1A1A"/>
          <w:sz w:val="36"/>
          <w:szCs w:val="36"/>
        </w:rPr>
        <w:t xml:space="preserve">إنها **محبَّةٌ صادقةٌ وتعظيمٌ سكَنَ سُوَيداءَ قلبِه**؛ فأقولُها بصراحة: **إنّ الصِّدِّيقَ سبَقَ الصحابةَ بقلبِه.**</w:t>
      </w:r>
    </w:p>
    <w:p>
      <w:pPr>
        <w:spacing w:after="140" w:line="340" w:lineRule="auto"/>
        <w:jc w:val="both"/>
      </w:pPr>
      <w:r>
        <w:rPr>
          <w:color w:val="1A1A1A"/>
          <w:sz w:val="36"/>
          <w:szCs w:val="36"/>
        </w:rPr>
        <w:t xml:space="preserve">**فانظُرْ إليه في مكة** ـ في مرحلةِ الضَّعفِ والإيذاء ـ لمّا ضُرِبَ ضربًا مُبَرِّحًا حتى غابَ أنفُه في وجهِه، فحُمِلَ مَغشيًّا عليه. فلمّا أفاقَ كان أوَّلَ ما نطقَ به:</w:t>
      </w:r>
    </w:p>
    <w:p>
      <w:pPr>
        <w:pBdr>
          <w:right w:val="single" w:sz="12" w:space="10" w:color="8A6A1F"/>
        </w:pBdr>
        <w:spacing w:before="120" w:after="160" w:line="320" w:lineRule="auto"/>
        <w:ind w:left="504" w:right="504"/>
        <w:jc w:val="both"/>
      </w:pPr>
      <w:r>
        <w:rPr>
          <w:b/>
          <w:bCs/>
          <w:color w:val="1F5C3A"/>
          <w:sz w:val="36"/>
          <w:szCs w:val="36"/>
        </w:rPr>
        <w:t xml:space="preserve">«ما فعَلَ رسولُ اللهِ ﷺ؟»</w:t>
      </w:r>
    </w:p>
    <w:p>
      <w:pPr>
        <w:spacing w:after="140" w:line="340" w:lineRule="auto"/>
        <w:jc w:val="both"/>
      </w:pPr>
      <w:r>
        <w:rPr>
          <w:color w:val="1A1A1A"/>
          <w:sz w:val="36"/>
          <w:szCs w:val="36"/>
        </w:rPr>
        <w:t xml:space="preserve">ولم يَذُقْ طعامًا ولا شرابًا حتى أُخبِرَ بسلامتِه.</w:t>
      </w:r>
      <w:r>
        <w:rPr>
          <w:rStyle w:val="a5"/>
          <w:sz w:val="36"/>
          <w:szCs w:val="36"/>
        </w:rPr>
        <w:footnoteReference w:id="3"/>
      </w:r>
    </w:p>
    <w:p>
      <w:pPr>
        <w:spacing w:after="140" w:line="340" w:lineRule="auto"/>
        <w:jc w:val="both"/>
      </w:pPr>
      <w:r>
        <w:rPr>
          <w:color w:val="1A1A1A"/>
          <w:sz w:val="36"/>
          <w:szCs w:val="36"/>
        </w:rPr>
        <w:t xml:space="preserve">**وانظُرْ إليه في آخِرِ العهد:** لمّا جيءَ بأبيه **أبي قُحافةَ** يومَ الفتحِ لِيُسلِمَ ويُبايِعَ ـ فبكى أبو بكر. فقال ﷺ: **ما يُبكيك؟ هذا يومُ عِزٍّ وإسلامِ أبيك!** فقال الصِّدِّيق:</w:t>
      </w:r>
    </w:p>
    <w:p>
      <w:pPr>
        <w:pBdr>
          <w:right w:val="single" w:sz="12" w:space="10" w:color="8A6A1F"/>
        </w:pBdr>
        <w:spacing w:before="120" w:after="160" w:line="320" w:lineRule="auto"/>
        <w:ind w:left="504" w:right="504"/>
        <w:jc w:val="both"/>
      </w:pPr>
      <w:r>
        <w:rPr>
          <w:b/>
          <w:bCs/>
          <w:color w:val="1F5C3A"/>
          <w:sz w:val="36"/>
          <w:szCs w:val="36"/>
        </w:rPr>
        <w:t xml:space="preserve">«واللهِ لَأَنْ تكونَ يدُ أبي طالبٍ مكانَ يدِ أبي، ويُسلِمَ فتَقَرَّ بها عينُك ـ أحَبُّ إليَّ من إسلامِ أبي»</w:t>
      </w:r>
      <w:r>
        <w:rPr>
          <w:rStyle w:val="a5"/>
          <w:sz w:val="36"/>
          <w:szCs w:val="36"/>
        </w:rPr>
        <w:footnoteReference w:id="4"/>
      </w:r>
    </w:p>
    <w:p>
      <w:pPr>
        <w:spacing w:after="140" w:line="340" w:lineRule="auto"/>
        <w:jc w:val="both"/>
      </w:pPr>
      <w:r>
        <w:rPr>
          <w:color w:val="1A1A1A"/>
          <w:sz w:val="36"/>
          <w:szCs w:val="36"/>
        </w:rPr>
        <w:t xml:space="preserve">**أيُّ محبَّةٍ هذه؟!** يتمنّى أن يكونَ المُسلِمُ عَمَّ النبيِّ ﷺ لا أباه؛ لعلمِه بمحبَّةِ النبيِّ ﷺ لإسلامِ عمِّه.</w:t>
      </w:r>
    </w:p>
    <w:p>
      <w:pPr>
        <w:spacing w:before="260" w:after="120"/>
      </w:pPr>
      <w:r>
        <w:rPr>
          <w:b/>
          <w:bCs/>
          <w:color w:val="1F5C3A"/>
          <w:sz w:val="36"/>
          <w:szCs w:val="36"/>
        </w:rPr>
        <w:t xml:space="preserve">ثانيًا: أن تشتاقَ إلى رؤيتِه</w:t>
      </w:r>
    </w:p>
    <w:p>
      <w:pPr>
        <w:spacing w:after="140" w:line="340" w:lineRule="auto"/>
        <w:jc w:val="both"/>
      </w:pPr>
      <w:r>
        <w:rPr>
          <w:color w:val="1A1A1A"/>
          <w:sz w:val="36"/>
          <w:szCs w:val="36"/>
        </w:rPr>
        <w:t xml:space="preserve">فمن منّا يفكِّرُ كيف سيكونُ لقاؤُه برسولِ اللهِ ﷺ؟ ومن منّا يشتاقُ إلى دخولِ الجنَّةِ لِيراه؟</w:t>
      </w:r>
    </w:p>
    <w:p>
      <w:pPr>
        <w:spacing w:after="140" w:line="340" w:lineRule="auto"/>
        <w:jc w:val="both"/>
      </w:pPr>
      <w:r>
        <w:rPr>
          <w:color w:val="1A1A1A"/>
          <w:sz w:val="36"/>
          <w:szCs w:val="36"/>
        </w:rPr>
        <w:t xml:space="preserve">كان **ثَوبانُ ﵁** مولى رسولِ اللهِ ﷺ شديدَ الحُبِّ له؛ فجاء ذاتَ يومٍ وقد تغيَّرَ لونُه، فقال ﷺ: **</w:t>
      </w:r>
      <w:r>
        <w:rPr>
          <w:b/>
          <w:bCs/>
          <w:color w:val="1F5C3A"/>
          <w:sz w:val="36"/>
          <w:szCs w:val="36"/>
        </w:rPr>
        <w:t xml:space="preserve">«ما غيَّرَ لونَك؟»</w:t>
      </w:r>
      <w:r>
        <w:rPr>
          <w:color w:val="1A1A1A"/>
          <w:sz w:val="36"/>
          <w:szCs w:val="36"/>
        </w:rPr>
        <w:t xml:space="preserve">** فقال:</w:t>
      </w:r>
    </w:p>
    <w:p>
      <w:pPr>
        <w:pBdr>
          <w:right w:val="single" w:sz="12" w:space="10" w:color="8A6A1F"/>
        </w:pBdr>
        <w:spacing w:before="120" w:after="160" w:line="320" w:lineRule="auto"/>
        <w:ind w:left="504" w:right="504"/>
        <w:jc w:val="both"/>
      </w:pPr>
      <w:r>
        <w:rPr>
          <w:b/>
          <w:bCs/>
          <w:color w:val="1F5C3A"/>
          <w:sz w:val="36"/>
          <w:szCs w:val="36"/>
        </w:rPr>
        <w:t xml:space="preserve">«يا رسولَ الله، ما بي مرَضٌ ولا وجَع، غيرَ أني إذا لم أَرَك استوحشتُ وحشةً شديدةً حتى ألقاك؛ ثم ذكرتُ الآخرةَ فأخافُ ألّا أراك، لأني عرَفتُ أنك تُرفَعُ مع النبيِّين، وأني إن دخلتُ الجنَّةَ كنتُ في منزلةٍ هي أدنى من منزلتِك، وإن لم أدخُلْها فلا أراك أبدًا»</w:t>
      </w:r>
    </w:p>
    <w:p>
      <w:pPr>
        <w:spacing w:after="140" w:line="340" w:lineRule="auto"/>
        <w:jc w:val="both"/>
      </w:pPr>
      <w:r>
        <w:rPr>
          <w:color w:val="1A1A1A"/>
          <w:sz w:val="36"/>
          <w:szCs w:val="36"/>
        </w:rPr>
        <w:t xml:space="preserve">فما ردَّ عليه ﷺ حتى نزلَ جبريلُ بقولِ الله:</w:t>
      </w:r>
    </w:p>
    <w:p>
      <w:pPr>
        <w:pBdr>
          <w:right w:val="single" w:sz="12" w:space="10" w:color="8A6A1F"/>
        </w:pBdr>
        <w:spacing w:before="120" w:after="160" w:line="320" w:lineRule="auto"/>
        <w:ind w:left="504" w:right="504"/>
        <w:jc w:val="both"/>
      </w:pPr>
      <w:r>
        <w:rPr>
          <w:b/>
          <w:bCs/>
          <w:color w:val="8A6A1F"/>
          <w:sz w:val="36"/>
          <w:szCs w:val="36"/>
        </w:rPr>
        <w:t xml:space="preserve">﴿وَمَن يُطِعِ اللَّهَ وَالرَّسُولَ فَأُولَٰئِكَ مَعَ الَّذِينَ أَنْعَمَ اللَّهُ عَلَيْهِم مِّنَ النَّبِيِّينَ وَالصِّدِّيقِينَ وَالشُّهَدَاءِ وَالصَّالِحِينَ ۚ وَحَسُنَ أُولَٰئِكَ رَفِيقًا﴾</w:t>
      </w:r>
      <w:r>
        <w:rPr>
          <w:rStyle w:val="a5"/>
          <w:sz w:val="36"/>
          <w:szCs w:val="36"/>
        </w:rPr>
        <w:footnoteReference w:id="5"/>
      </w:r>
    </w:p>
    <w:p>
      <w:pPr>
        <w:spacing w:after="140" w:line="340" w:lineRule="auto"/>
        <w:jc w:val="both"/>
      </w:pPr>
      <w:r>
        <w:rPr>
          <w:color w:val="1A1A1A"/>
          <w:sz w:val="36"/>
          <w:szCs w:val="36"/>
        </w:rPr>
        <w:t xml:space="preserve">فهذه بُشرى لك إن كنتَ مُطيعًا. وجاء رجلٌ إلى النبيِّ ﷺ فقال: متى الساعة؟ قال: **</w:t>
      </w:r>
      <w:r>
        <w:rPr>
          <w:b/>
          <w:bCs/>
          <w:color w:val="1F5C3A"/>
          <w:sz w:val="36"/>
          <w:szCs w:val="36"/>
        </w:rPr>
        <w:t xml:space="preserve">«وما أعدَدتَ لها؟»</w:t>
      </w:r>
      <w:r>
        <w:rPr>
          <w:color w:val="1A1A1A"/>
          <w:sz w:val="36"/>
          <w:szCs w:val="36"/>
        </w:rPr>
        <w:t xml:space="preserve">** قال: ما أعدَدتُ لها من كثيرِ صلاةٍ ولا صومٍ ولا صدقة، ولكنّي أُحِبُّ اللهَ ورسولَه. فقال ﷺ:</w:t>
      </w:r>
    </w:p>
    <w:p>
      <w:pPr>
        <w:pBdr>
          <w:right w:val="single" w:sz="12" w:space="10" w:color="8A6A1F"/>
        </w:pBdr>
        <w:spacing w:before="120" w:after="160" w:line="320" w:lineRule="auto"/>
        <w:ind w:left="504" w:right="504"/>
        <w:jc w:val="both"/>
      </w:pPr>
      <w:r>
        <w:rPr>
          <w:b/>
          <w:bCs/>
          <w:color w:val="1F5C3A"/>
          <w:sz w:val="36"/>
          <w:szCs w:val="36"/>
        </w:rPr>
        <w:t xml:space="preserve">«أنت مع من أحبَبت»</w:t>
      </w:r>
    </w:p>
    <w:p>
      <w:pPr>
        <w:spacing w:after="140" w:line="340" w:lineRule="auto"/>
        <w:jc w:val="both"/>
      </w:pPr>
      <w:r>
        <w:rPr>
          <w:color w:val="1A1A1A"/>
          <w:sz w:val="36"/>
          <w:szCs w:val="36"/>
        </w:rPr>
        <w:t xml:space="preserve">يقولُ أنسٌ ﵁: **فما فرِحْنا بشيءٍ فرَحَنا بقولِ النبيِّ ﷺ: </w:t>
      </w:r>
      <w:r>
        <w:rPr>
          <w:b/>
          <w:bCs/>
          <w:color w:val="1F5C3A"/>
          <w:sz w:val="36"/>
          <w:szCs w:val="36"/>
        </w:rPr>
        <w:t xml:space="preserve">«أنت مع من أحبَبت»</w:t>
      </w:r>
      <w:r>
        <w:rPr>
          <w:color w:val="1A1A1A"/>
          <w:sz w:val="36"/>
          <w:szCs w:val="36"/>
        </w:rPr>
        <w:t xml:space="preserve">.**</w:t>
      </w:r>
      <w:r>
        <w:rPr>
          <w:rStyle w:val="a5"/>
          <w:sz w:val="36"/>
          <w:szCs w:val="36"/>
        </w:rPr>
        <w:footnoteReference w:id="6"/>
      </w:r>
    </w:p>
    <w:p>
      <w:pPr>
        <w:spacing w:after="140" w:line="340" w:lineRule="auto"/>
        <w:jc w:val="both"/>
      </w:pPr>
      <w:r>
        <w:rPr>
          <w:color w:val="1A1A1A"/>
          <w:sz w:val="36"/>
          <w:szCs w:val="36"/>
        </w:rPr>
        <w:t xml:space="preserve">**فانظُرْ:** مع من أنت في الجنَّة؟ مع من عقَدتَ محبَّتَك؟</w:t>
      </w:r>
    </w:p>
    <w:p>
      <w:pPr>
        <w:spacing w:before="200" w:after="100"/>
      </w:pPr>
      <w:r>
        <w:rPr>
          <w:b/>
          <w:bCs/>
          <w:color w:val="1A1A1A"/>
          <w:sz w:val="36"/>
          <w:szCs w:val="36"/>
        </w:rPr>
        <w:t xml:space="preserve">سَوادُ بنُ غَزِيَّةَ ﵁</w:t>
      </w:r>
    </w:p>
    <w:p>
      <w:pPr>
        <w:spacing w:after="140" w:line="340" w:lineRule="auto"/>
        <w:jc w:val="both"/>
      </w:pPr>
      <w:r>
        <w:rPr>
          <w:color w:val="1A1A1A"/>
          <w:sz w:val="36"/>
          <w:szCs w:val="36"/>
        </w:rPr>
        <w:t xml:space="preserve">وحينما أقرأُ خبَرَه يومَ بدرٍ يأخُذُني العجَب: كان ﷺ يُسوِّي الصفوفَ بعُودٍ في يدِه، فمرَّ بسَوادٍ وقد خرجَ من الصفِّ فطعَنَ في بطنِه وقال: **</w:t>
      </w:r>
      <w:r>
        <w:rPr>
          <w:b/>
          <w:bCs/>
          <w:color w:val="1F5C3A"/>
          <w:sz w:val="36"/>
          <w:szCs w:val="36"/>
        </w:rPr>
        <w:t xml:space="preserve">«استوِ يا سَواد»</w:t>
      </w:r>
      <w:r>
        <w:rPr>
          <w:color w:val="1A1A1A"/>
          <w:sz w:val="36"/>
          <w:szCs w:val="36"/>
        </w:rPr>
        <w:t xml:space="preserve">**. فقال: يا رسولَ الله، أوجَعتَني، وقد بعَثَك اللهُ بالحقِّ والعدل، **فأَقِدْني**. فكشفَ ﷺ عن بطنِه وقال: **</w:t>
      </w:r>
      <w:r>
        <w:rPr>
          <w:b/>
          <w:bCs/>
          <w:color w:val="1F5C3A"/>
          <w:sz w:val="36"/>
          <w:szCs w:val="36"/>
        </w:rPr>
        <w:t xml:space="preserve">«استَقِدْ»</w:t>
      </w:r>
      <w:r>
        <w:rPr>
          <w:color w:val="1A1A1A"/>
          <w:sz w:val="36"/>
          <w:szCs w:val="36"/>
        </w:rPr>
        <w:t xml:space="preserve">**؛ فاعتنَقَه سَوادٌ يُقبِّلُ بطنَه. فقال ﷺ: **</w:t>
      </w:r>
      <w:r>
        <w:rPr>
          <w:b/>
          <w:bCs/>
          <w:color w:val="1F5C3A"/>
          <w:sz w:val="36"/>
          <w:szCs w:val="36"/>
        </w:rPr>
        <w:t xml:space="preserve">«ما حمَلَك على هذا يا سَواد؟»</w:t>
      </w:r>
      <w:r>
        <w:rPr>
          <w:color w:val="1A1A1A"/>
          <w:sz w:val="36"/>
          <w:szCs w:val="36"/>
        </w:rPr>
        <w:t xml:space="preserve">** فقال:</w:t>
      </w:r>
    </w:p>
    <w:p>
      <w:pPr>
        <w:pBdr>
          <w:right w:val="single" w:sz="12" w:space="10" w:color="8A6A1F"/>
        </w:pBdr>
        <w:spacing w:before="120" w:after="160" w:line="320" w:lineRule="auto"/>
        <w:ind w:left="504" w:right="504"/>
        <w:jc w:val="both"/>
      </w:pPr>
      <w:r>
        <w:rPr>
          <w:b/>
          <w:bCs/>
          <w:color w:val="1F5C3A"/>
          <w:sz w:val="36"/>
          <w:szCs w:val="36"/>
        </w:rPr>
        <w:t xml:space="preserve">«يا رسولَ الله، حضَرَ ما ترى، فأردتُ أن يكونَ آخِرُ العهدِ بك أن يمَسَّ جِلدي جِلدَك»</w:t>
      </w:r>
      <w:r>
        <w:rPr>
          <w:rStyle w:val="a5"/>
          <w:sz w:val="36"/>
          <w:szCs w:val="36"/>
        </w:rPr>
        <w:footnoteReference w:id="7"/>
      </w:r>
    </w:p>
    <w:p>
      <w:pPr>
        <w:spacing w:after="140" w:line="340" w:lineRule="auto"/>
        <w:jc w:val="both"/>
      </w:pPr>
      <w:r>
        <w:rPr>
          <w:color w:val="1A1A1A"/>
          <w:sz w:val="36"/>
          <w:szCs w:val="36"/>
        </w:rPr>
        <w:t xml:space="preserve">فدعا له ﷺ بخير.</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ثالثًا: اتِّباعُ سُنَّتِه ـ وهو الدليلُ الدامغ</w:t>
      </w:r>
    </w:p>
    <w:p>
      <w:pPr>
        <w:spacing w:after="140" w:line="340" w:lineRule="auto"/>
        <w:jc w:val="both"/>
      </w:pPr>
      <w:r>
        <w:rPr>
          <w:color w:val="1A1A1A"/>
          <w:sz w:val="36"/>
          <w:szCs w:val="36"/>
        </w:rPr>
        <w:t xml:space="preserve">وهذا الدليلُ هو الذي يُبيِّنُ صِدقَ ما قبلَه؛ فإني قد أدَّعي المحبَّةَ وأزعُمُ الشوقَ، ثم **أقوالي تُخالِفُ أقوالَه، وسَمْتي يُخالِفُ سَمْتَه، وأفعالي تُخالِفُ أفعالَه** ـ فليست هذه محبَّة.</w:t>
      </w:r>
    </w:p>
    <w:p>
      <w:pPr>
        <w:spacing w:after="140" w:line="340" w:lineRule="auto"/>
        <w:jc w:val="both"/>
      </w:pPr>
      <w:r>
        <w:rPr>
          <w:color w:val="1A1A1A"/>
          <w:sz w:val="36"/>
          <w:szCs w:val="36"/>
        </w:rPr>
        <w:t xml:space="preserve">وقد أقامَ اللهُ على المحبَّةِ دليلًا وشرطًا فقال:</w:t>
      </w:r>
    </w:p>
    <w:p>
      <w:pPr>
        <w:pBdr>
          <w:right w:val="single" w:sz="12" w:space="10" w:color="8A6A1F"/>
        </w:pBdr>
        <w:spacing w:before="120" w:after="160" w:line="320" w:lineRule="auto"/>
        <w:ind w:left="504" w:right="504"/>
        <w:jc w:val="both"/>
      </w:pPr>
      <w:r>
        <w:rPr>
          <w:b/>
          <w:bCs/>
          <w:color w:val="8A6A1F"/>
          <w:sz w:val="36"/>
          <w:szCs w:val="36"/>
        </w:rPr>
        <w:t xml:space="preserve">﴿قُلْ إِن كُنتُمْ تُحِبُّونَ اللَّهَ فَاتَّبِعُونِي يُحْبِبْكُمُ اللَّهُ وَيَغْفِرْ لَكُمْ ذُنُوبَكُمْ﴾</w:t>
      </w:r>
    </w:p>
    <w:p>
      <w:pPr>
        <w:spacing w:after="140" w:line="340" w:lineRule="auto"/>
        <w:jc w:val="both"/>
      </w:pPr>
      <w:r>
        <w:rPr>
          <w:color w:val="1A1A1A"/>
          <w:sz w:val="36"/>
          <w:szCs w:val="36"/>
        </w:rPr>
        <w:t xml:space="preserve">فالمحبَّةُ الصادقةُ أن يتَّبِعَ الواحدُ منّا رسولَ اللهِ ﷺ في كلِّ كبيرةٍ وصغيرة؛ في بيتِه ولسانِه وجوارِحِه، مع ابنِه وابنتِه، في فرَحِه وسُرورِه وفي كلِّ شؤونِ حياتِه ـ يتفيَّأُ ظِلالَ هَديِه ﷺ.</w:t>
      </w:r>
    </w:p>
    <w:p>
      <w:pPr>
        <w:spacing w:after="140" w:line="340" w:lineRule="auto"/>
        <w:jc w:val="both"/>
      </w:pPr>
      <w:r>
        <w:rPr>
          <w:color w:val="1A1A1A"/>
          <w:sz w:val="36"/>
          <w:szCs w:val="36"/>
        </w:rPr>
        <w:t xml:space="preserve">**أمّا أن نرفعَ شعارَ المحبَّة، وبناتُنا مُتبرِّجات، وأفراحُنا لا صِلةَ لها بهَديِ النبيِّ ﷺ، وأخلاقُنا ومأكلُنا ومشربُنا وأموالُنا وحلالُنا وحرامُنا لا يُذكِّرُ بشيءٍ من هَديِه** ـ فهذه ليست محبَّة، كلّا وربي.</w:t>
      </w:r>
    </w:p>
    <w:p>
      <w:pPr>
        <w:spacing w:after="140" w:line="340" w:lineRule="auto"/>
        <w:jc w:val="both"/>
      </w:pPr>
      <w:r>
        <w:rPr>
          <w:color w:val="1A1A1A"/>
          <w:sz w:val="36"/>
          <w:szCs w:val="36"/>
        </w:rPr>
        <w:t xml:space="preserve">إنما المحبَّةُ الصادقةُ هي التي يرويها لك **نافعٌ** تلميذُ ابنِ عمرَ ﵄؛ قال:</w:t>
      </w:r>
    </w:p>
    <w:p>
      <w:pPr>
        <w:pBdr>
          <w:right w:val="single" w:sz="12" w:space="10" w:color="8A6A1F"/>
        </w:pBdr>
        <w:spacing w:before="120" w:after="160" w:line="320" w:lineRule="auto"/>
        <w:ind w:left="504" w:right="504"/>
        <w:jc w:val="both"/>
      </w:pPr>
      <w:r>
        <w:rPr>
          <w:b/>
          <w:bCs/>
          <w:color w:val="1F5C3A"/>
          <w:sz w:val="36"/>
          <w:szCs w:val="36"/>
        </w:rPr>
        <w:t xml:space="preserve">«لو رأيتُم ابنَ عمرَ إذا اتَّبعَ أثَرَ النبيِّ ﷺ لَقُلتُم: هذا مجنون»</w:t>
      </w:r>
      <w:r>
        <w:rPr>
          <w:rStyle w:val="a5"/>
          <w:sz w:val="36"/>
          <w:szCs w:val="36"/>
        </w:rPr>
        <w:footnoteReference w:id="8"/>
      </w:r>
    </w:p>
    <w:p>
      <w:pPr>
        <w:spacing w:after="140" w:line="340" w:lineRule="auto"/>
        <w:jc w:val="both"/>
      </w:pPr>
      <w:r>
        <w:rPr>
          <w:color w:val="1A1A1A"/>
          <w:sz w:val="36"/>
          <w:szCs w:val="36"/>
        </w:rPr>
        <w:t xml:space="preserve">مجنونٌ من أيِّ شيء؟ **من شدَّةِ اقتفائِه لهَديِ النبيِّ ﷺ**؛ حتى كان يُنيخُ راحلتَه في المكانِ الذي أناخَ فيه ﷺ.</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فأنا أعلمُ أنك تأثَّرتَ الآن، وأنّ قلبَك قد عظَّمَ رسولَ اللهِ ﷺ. **ولكنْ بعد هذه الخطبة: اعرِضْ قلبَك ولسانَك وجوارِحَك ـ اعرِضْ حياتَك كلَّها ـ على سيرةِ رسولِ اللهِ ﷺ وأوامرِه ومَناهيه.** فإن كنتَ تسيرُ على خُطاه فاعلَمْ أنك أحببتَه؛ وإلا فراجِعْ نفسَك وأَقبِلْ، لعلَّ المحبَّةَ تُقبَل.</w:t>
      </w:r>
    </w:p>
    <w:p>
      <w:pPr>
        <w:spacing w:after="140" w:line="340" w:lineRule="auto"/>
        <w:jc w:val="both"/>
      </w:pPr>
      <w:r>
        <w:rPr>
          <w:color w:val="1A1A1A"/>
          <w:sz w:val="36"/>
          <w:szCs w:val="36"/>
        </w:rPr>
        <w:t xml:space="preserve">أسألُ اللهَ العظيمَ ربَّ العرشِ العظيمِ أن يُثبِّتَني وإياكم على سُنَّتِه، وأن يرزُقَنا اتِّباعَه ظاهرًا وباطنًا، وأن يجمعَنا به في الفردوسِ الأعلى؛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المِسوَرِ بنِ مَخرَمةَ ومَروانَ ﵄ في قصةِ صُلحِ الحُدَيبية.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السيرة؛ رواها ابنُ إسحاقَ وابنُ هشامٍ والبزّارُ والحاكم، وذكرَها ابنُ كثيرٍ في «البداية والنهاية».</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وأبو يعلى من حديث أنس بن مالك ﵁، وصحَّحَ إسنادَه الحافظُ ابنُ حجرٍ في «فتح الباري».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وأبو نُعيمٍ من حديث عائشةَ وثَوبانَ ﵄، وحسَّنه بعضُ أهلِ العلمِ بشواهدِه؛ والآيةُ ثابتةٌ بنصِّ القرآن.</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بدر؛ رواها ابنُ إسحاقَ في «السيرة» والطبرانيُّ والبيهقيُّ في «الدلائل»، وذكرَها ابنُ كثيرٍ في «البداية والنهاية».</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نافعٍ مولى ابنِ عمرَ ﵄؛ ذكرَه ابنُ سعدٍ في «الطبقات» وابنُ عبد البَرِّ وغيرُهما.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