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الحسد</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حقيقتُه وحكمُه وآثارُه وأسبابُه وعلاجُه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w:t>
      </w:r>
      <w:r>
        <w:rPr>
          <w:rFonts w:ascii="Traditional Arabic" w:cs="Traditional Arabic" w:eastAsia="Traditional Arabic" w:hAnsi="Traditional Arabic"/>
          <w:b/>
          <w:bCs/>
          <w:i w:val="false"/>
          <w:iCs w:val="false"/>
          <w:sz w:val="28"/>
          <w:szCs w:val="28"/>
          <w:rtl/>
        </w:rPr>
        <w:t xml:space="preserve">نارٌ تأكل الحسنات وتُورِث الحسرات؛ ذنبٌ إبليسيٌّ بامتياز، وهو سيّدُ الأخلاق الرذيلة، وخُلّةٌ يهوديّةٌ قذرة</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يقتل القلبَ، وهو أمارةُ سوء الظنِّ بالعزيز الرحمن — ولا يكاد يخلو منه جسد</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إنّه الحسد</w:t>
      </w:r>
      <w:r>
        <w:rPr>
          <w:rFonts w:ascii="Traditional Arabic" w:cs="Traditional Arabic" w:eastAsia="Traditional Arabic" w:hAnsi="Traditional Arabic"/>
          <w:b w:val="false"/>
          <w:bCs w:val="false"/>
          <w:i w:val="false"/>
          <w:iCs w:val="false"/>
          <w:sz w:val="28"/>
          <w:szCs w:val="28"/>
          <w:rtl/>
        </w:rPr>
        <w:t xml:space="preserve">.</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حقيقتُه وحكمُه</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الحسد: </w:t>
      </w:r>
      <w:r>
        <w:rPr>
          <w:rFonts w:ascii="Traditional Arabic" w:cs="Traditional Arabic" w:eastAsia="Traditional Arabic" w:hAnsi="Traditional Arabic"/>
          <w:b/>
          <w:bCs/>
          <w:i w:val="false"/>
          <w:iCs w:val="false"/>
          <w:sz w:val="28"/>
          <w:szCs w:val="28"/>
          <w:rtl/>
        </w:rPr>
        <w:t xml:space="preserve">تمنّي زوال النعمة عن المحسود</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أيًّا كانت النعمة: نعمةَ مالٍ أو ولدٍ أو عِلمٍ أو رئاسة — فإذا تمنّيتَ زوالَها عن صاحبها فأنت حاسد</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وحكمُه: </w:t>
      </w:r>
      <w:r>
        <w:rPr>
          <w:rFonts w:ascii="Traditional Arabic" w:cs="Traditional Arabic" w:eastAsia="Traditional Arabic" w:hAnsi="Traditional Arabic"/>
          <w:b/>
          <w:bCs/>
          <w:i w:val="false"/>
          <w:iCs w:val="false"/>
          <w:sz w:val="28"/>
          <w:szCs w:val="28"/>
          <w:rtl/>
        </w:rPr>
        <w:t xml:space="preserve">كبيرةٌ من الكبائر</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وقد أمرك اللهُ أن تستعيذ من شرّه: ﴿وَمِن شَرِّ حَاسِدٍ إِذَا حَسَدَ﴾</w:t>
      </w:r>
      <w:r>
        <w:rPr>
          <w:rFonts w:ascii="Traditional Arabic" w:cs="Traditional Arabic" w:eastAsia="Traditional Arabic" w:hAnsi="Traditional Arabic"/>
          <w:b w:val="false"/>
          <w:bCs w:val="false"/>
          <w:i w:val="false"/>
          <w:iCs w:val="false"/>
          <w:sz w:val="28"/>
          <w:szCs w:val="28"/>
          <w:rtl/>
        </w:rPr>
        <w:t xml:space="preserve">. وروى الشيخان من حديث أنسٍ ﵁ أنّ النبيَّ ﷺ قال: </w:t>
      </w:r>
      <w:r>
        <w:rPr>
          <w:rFonts w:ascii="Traditional Arabic" w:cs="Traditional Arabic" w:eastAsia="Traditional Arabic" w:hAnsi="Traditional Arabic"/>
          <w:b/>
          <w:bCs/>
          <w:i w:val="false"/>
          <w:iCs w:val="false"/>
          <w:sz w:val="28"/>
          <w:szCs w:val="28"/>
          <w:rtl/>
        </w:rPr>
        <w:t xml:space="preserve">«لا تباغَضوا، ولا تحاسَدوا، ولا تدابَروا، وكونوا عبادَ الله إخوانًا»</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فليس الحسدُ مجرّدَ شعورٍ نفسيٍّ لا يُؤاخَذ عليه — كلّا وربّي، بل ذنبٌ خطيرٌ وشرٌّ مستطير</w:t>
      </w:r>
      <w:r>
        <w:rPr>
          <w:rFonts w:ascii="Traditional Arabic" w:cs="Traditional Arabic" w:eastAsia="Traditional Arabic" w:hAnsi="Traditional Arabic"/>
          <w:b w:val="false"/>
          <w:bCs w:val="false"/>
          <w:i w:val="false"/>
          <w:iCs w:val="false"/>
          <w:sz w:val="28"/>
          <w:szCs w:val="28"/>
          <w:rtl/>
        </w:rPr>
        <w:t xml:space="preserve">.</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آثارُه</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١) همُّ الحاسد وسَقَمُه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قال معاويةُ ﵁: </w:t>
      </w:r>
      <w:r>
        <w:rPr>
          <w:rFonts w:ascii="Traditional Arabic" w:cs="Traditional Arabic" w:eastAsia="Traditional Arabic" w:hAnsi="Traditional Arabic"/>
          <w:b/>
          <w:bCs/>
          <w:i w:val="false"/>
          <w:iCs w:val="false"/>
          <w:sz w:val="28"/>
          <w:szCs w:val="28"/>
          <w:rtl/>
        </w:rPr>
        <w:t xml:space="preserve">ما رأيتُ ذنبًا أعدلَ من الحسد: يقتل صاحبَه قبل أن يصيب غيرَه!</w:t>
      </w:r>
      <w:r>
        <w:rPr>
          <w:rFonts w:ascii="Traditional Arabic" w:cs="Traditional Arabic" w:eastAsia="Traditional Arabic" w:hAnsi="Traditional Arabic"/>
          <w:b w:val="false"/>
          <w:bCs w:val="false"/>
          <w:i w:val="false"/>
          <w:iCs w:val="false"/>
          <w:sz w:val="28"/>
          <w:szCs w:val="28"/>
          <w:rtl/>
        </w:rPr>
        <w:t xml:space="preserve"> وللهِ درُّ الحسن البصريِّ ﵀ حين وصفه: </w:t>
      </w:r>
      <w:r>
        <w:rPr>
          <w:rFonts w:ascii="Traditional Arabic" w:cs="Traditional Arabic" w:eastAsia="Traditional Arabic" w:hAnsi="Traditional Arabic"/>
          <w:b/>
          <w:bCs/>
          <w:i w:val="false"/>
          <w:iCs w:val="false"/>
          <w:sz w:val="28"/>
          <w:szCs w:val="28"/>
          <w:rtl/>
        </w:rPr>
        <w:t xml:space="preserve">نفَسٌ دائم، وهمٌّ لازم، وحزنٌ لا ينفَد</w:t>
      </w:r>
      <w:r>
        <w:rPr>
          <w:rStyle w:val="FootnoteReference"/>
        </w:rPr>
        <w:footnoteReference w:id="17"/>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فتأمّلْ حالَ قلبك حين ترى النِّعَمَ على غيرك: إن كان نفَسًا دائمًا وهمًّا لازمًا فإنّك — وربّي — لحاسد!</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وصدقت العربُ: </w:t>
      </w:r>
      <w:r>
        <w:rPr>
          <w:rFonts w:ascii="Traditional Arabic" w:cs="Traditional Arabic" w:eastAsia="Traditional Arabic" w:hAnsi="Traditional Arabic"/>
          <w:b/>
          <w:bCs/>
          <w:i w:val="false"/>
          <w:iCs w:val="false"/>
          <w:sz w:val="28"/>
          <w:szCs w:val="28"/>
          <w:rtl/>
        </w:rPr>
        <w:t xml:space="preserve">قاتَل اللهُ الحسدَ! ما أعدلَه: بدأ بصاحبه فقتله</w:t>
      </w:r>
      <w:r>
        <w:rPr>
          <w:rFonts w:ascii="Traditional Arabic" w:cs="Traditional Arabic" w:eastAsia="Traditional Arabic" w:hAnsi="Traditional Arabic"/>
          <w:b w:val="false"/>
          <w:bCs w:val="false"/>
          <w:i w:val="false"/>
          <w:iCs w:val="false"/>
          <w:sz w:val="28"/>
          <w:szCs w:val="28"/>
          <w:rtl/>
        </w:rPr>
        <w:t xml:space="preserve">. وقال الشاعر:</w:t>
      </w:r>
    </w:p>
    <w:p>
      <w:pPr>
        <w:bidi/>
        <w:spacing w:after="130" w:line="365"/>
        <w:jc w:val="center"/>
      </w:pPr>
      <w:r>
        <w:rPr>
          <w:rFonts w:ascii="Traditional Arabic" w:cs="Traditional Arabic" w:eastAsia="Traditional Arabic" w:hAnsi="Traditional Arabic"/>
          <w:b/>
          <w:bCs/>
          <w:i w:val="false"/>
          <w:iCs w:val="false"/>
          <w:sz w:val="28"/>
          <w:szCs w:val="28"/>
          <w:rtl/>
        </w:rPr>
        <w:t xml:space="preserve">اصبِرْ عَلى مَضَضِ الحَسو••دِ فإنَّ صَبرَكَ قاتِلُهْ
النّارُ تَأكُلُ بَعضَها ••• إن لم تَجِدْ ما تَأكُلُهْ</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٢) استجلابُ سخط الله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وتدري لماذا؟ </w:t>
      </w:r>
      <w:r>
        <w:rPr>
          <w:rFonts w:ascii="Traditional Arabic" w:cs="Traditional Arabic" w:eastAsia="Traditional Arabic" w:hAnsi="Traditional Arabic"/>
          <w:b/>
          <w:bCs/>
          <w:i w:val="false"/>
          <w:iCs w:val="false"/>
          <w:sz w:val="28"/>
          <w:szCs w:val="28"/>
          <w:rtl/>
        </w:rPr>
        <w:t xml:space="preserve">لأنّ الحاسدَ على ربّه ساخط، ليس براضٍ عن قسمته؛ فهو يطعن في عدل مولاه حين يزعم أنّ فلانًا لا يستحقّ النعمة</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وتسمعون كلمةً تقطُر تسخُّطًا: «اللهُ يُعطي اللحمةَ لِمَن ليس له أسنان»! والجزاءُ من جنس العمل</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٣) أنّ الحسودَ لا يسود</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فهو يحسد العالمَ والغنيَّ والتاجر، </w:t>
      </w:r>
      <w:r>
        <w:rPr>
          <w:rFonts w:ascii="Traditional Arabic" w:cs="Traditional Arabic" w:eastAsia="Traditional Arabic" w:hAnsi="Traditional Arabic"/>
          <w:b/>
          <w:bCs/>
          <w:i w:val="false"/>
          <w:iCs w:val="false"/>
          <w:sz w:val="28"/>
          <w:szCs w:val="28"/>
          <w:rtl/>
        </w:rPr>
        <w:t xml:space="preserve">بل يحسد المريضَ على مرضه!</w:t>
      </w:r>
      <w:r>
        <w:rPr>
          <w:rFonts w:ascii="Traditional Arabic" w:cs="Traditional Arabic" w:eastAsia="Traditional Arabic" w:hAnsi="Traditional Arabic"/>
          <w:b w:val="false"/>
          <w:bCs w:val="false"/>
          <w:i w:val="false"/>
          <w:iCs w:val="false"/>
          <w:sz w:val="28"/>
          <w:szCs w:val="28"/>
          <w:rtl/>
        </w:rPr>
        <w:t xml:space="preserve"> وصدق الشاعر:</w:t>
      </w:r>
    </w:p>
    <w:p>
      <w:pPr>
        <w:bidi/>
        <w:spacing w:after="130" w:line="365"/>
        <w:jc w:val="center"/>
      </w:pPr>
      <w:r>
        <w:rPr>
          <w:rFonts w:ascii="Traditional Arabic" w:cs="Traditional Arabic" w:eastAsia="Traditional Arabic" w:hAnsi="Traditional Arabic"/>
          <w:b/>
          <w:bCs/>
          <w:i w:val="false"/>
          <w:iCs w:val="false"/>
          <w:sz w:val="28"/>
          <w:szCs w:val="28"/>
          <w:rtl/>
        </w:rPr>
        <w:t xml:space="preserve">إن يَحسُدوني فإنّي غَيرُ لائِمِهِمْ ••• قَبلي مِنَ النّاسِ أهلُ الفَضلِ قَد حُسِدوا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وكم رأينا مَن يجتهد ليلَ نهارٍ في وضع العلماء وانتقاصهم والطعن فيهم! </w:t>
      </w:r>
      <w:r>
        <w:rPr>
          <w:rFonts w:ascii="Traditional Arabic" w:cs="Traditional Arabic" w:eastAsia="Traditional Arabic" w:hAnsi="Traditional Arabic"/>
          <w:b/>
          <w:bCs/>
          <w:i w:val="false"/>
          <w:iCs w:val="false"/>
          <w:sz w:val="28"/>
          <w:szCs w:val="28"/>
          <w:rtl/>
        </w:rPr>
        <w:t xml:space="preserve">وتدرون ما الذي يحمله على ذلك؟ إنّه الحسد؛ نفسُه لا تُطيق أن ترى فلانًا على المنبر أو على كرسيّ التدريس</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وأقبِحْ بعبدٍ يُريد أن يضع مَن رفعه الله!</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٤) أنّه أمارةُ عدم سلامة القلب</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سُئل ﷺ: أيُّ الناس أفضل؟ </w:t>
      </w:r>
      <w:r>
        <w:rPr>
          <w:rFonts w:ascii="Traditional Arabic" w:cs="Traditional Arabic" w:eastAsia="Traditional Arabic" w:hAnsi="Traditional Arabic"/>
          <w:b/>
          <w:bCs/>
          <w:i w:val="false"/>
          <w:iCs w:val="false"/>
          <w:sz w:val="28"/>
          <w:szCs w:val="28"/>
          <w:rtl/>
        </w:rPr>
        <w:t xml:space="preserve">وتتوقّع أن يقول: الحجّاجُ والعُمّار وأصحابُ الصفّ الأوّل!</w:t>
      </w:r>
      <w:r>
        <w:rPr>
          <w:rFonts w:ascii="Traditional Arabic" w:cs="Traditional Arabic" w:eastAsia="Traditional Arabic" w:hAnsi="Traditional Arabic"/>
          <w:b w:val="false"/>
          <w:bCs w:val="false"/>
          <w:i w:val="false"/>
          <w:iCs w:val="false"/>
          <w:sz w:val="28"/>
          <w:szCs w:val="28"/>
          <w:rtl/>
        </w:rPr>
        <w:t xml:space="preserve"> فقال: </w:t>
      </w:r>
      <w:r>
        <w:rPr>
          <w:rFonts w:ascii="Traditional Arabic" w:cs="Traditional Arabic" w:eastAsia="Traditional Arabic" w:hAnsi="Traditional Arabic"/>
          <w:b/>
          <w:bCs/>
          <w:i w:val="false"/>
          <w:iCs w:val="false"/>
          <w:sz w:val="28"/>
          <w:szCs w:val="28"/>
          <w:rtl/>
        </w:rPr>
        <w:t xml:space="preserve">«كلُّ مخمومِ القلبِ صَدوقِ اللسان»</w:t>
      </w:r>
      <w:r>
        <w:rPr>
          <w:rFonts w:ascii="Traditional Arabic" w:cs="Traditional Arabic" w:eastAsia="Traditional Arabic" w:hAnsi="Traditional Arabic"/>
          <w:b w:val="false"/>
          <w:bCs w:val="false"/>
          <w:i w:val="false"/>
          <w:iCs w:val="false"/>
          <w:sz w:val="28"/>
          <w:szCs w:val="28"/>
          <w:rtl/>
        </w:rPr>
        <w:t xml:space="preserve">. قالوا: صَدوقُ اللسان نعرفه، فما مخمومُ القلب؟ قال: </w:t>
      </w:r>
      <w:r>
        <w:rPr>
          <w:rFonts w:ascii="Traditional Arabic" w:cs="Traditional Arabic" w:eastAsia="Traditional Arabic" w:hAnsi="Traditional Arabic"/>
          <w:b/>
          <w:bCs/>
          <w:i w:val="false"/>
          <w:iCs w:val="false"/>
          <w:sz w:val="28"/>
          <w:szCs w:val="28"/>
          <w:rtl/>
        </w:rPr>
        <w:t xml:space="preserve">«هو التقيُّ النقيُّ، لا إثمَ فيه ولا بَغْيَ ولا غِلَّ ولا حسد»</w:t>
      </w:r>
      <w:r>
        <w:rPr>
          <w:rStyle w:val="FootnoteReference"/>
        </w:rPr>
        <w:footnoteReference w:id="18"/>
      </w:r>
      <w:r>
        <w:rPr>
          <w:rFonts w:ascii="Traditional Arabic" w:cs="Traditional Arabic" w:eastAsia="Traditional Arabic" w:hAnsi="Traditional Arabic"/>
          <w:b w:val="false"/>
          <w:bCs w:val="false"/>
          <w:i w:val="false"/>
          <w:iCs w:val="false"/>
          <w:sz w:val="28"/>
          <w:szCs w:val="28"/>
          <w:rtl/>
        </w:rPr>
        <w:t xml:space="preserve"> — </w:t>
      </w:r>
      <w:r>
        <w:rPr>
          <w:rFonts w:ascii="Traditional Arabic" w:cs="Traditional Arabic" w:eastAsia="Traditional Arabic" w:hAnsi="Traditional Arabic"/>
          <w:b/>
          <w:bCs/>
          <w:i w:val="false"/>
          <w:iCs w:val="false"/>
          <w:sz w:val="28"/>
          <w:szCs w:val="28"/>
          <w:rtl/>
        </w:rPr>
        <w:t xml:space="preserve">و«المخموم» من الخَمّ، وهو في لغة العرب: التنظيف</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وقال ﷺ: </w:t>
      </w:r>
      <w:r>
        <w:rPr>
          <w:rFonts w:ascii="Traditional Arabic" w:cs="Traditional Arabic" w:eastAsia="Traditional Arabic" w:hAnsi="Traditional Arabic"/>
          <w:b/>
          <w:bCs/>
          <w:i w:val="false"/>
          <w:iCs w:val="false"/>
          <w:sz w:val="28"/>
          <w:szCs w:val="28"/>
          <w:rtl/>
        </w:rPr>
        <w:t xml:space="preserve">«لا يجتمعان في جوف عبدٍ: الإيمانُ والحسد»</w:t>
      </w:r>
      <w:r>
        <w:rPr>
          <w:rStyle w:val="FootnoteReference"/>
        </w:rPr>
        <w:footnoteReference w:id="19"/>
      </w:r>
      <w:r>
        <w:rPr>
          <w:rFonts w:ascii="Traditional Arabic" w:cs="Traditional Arabic" w:eastAsia="Traditional Arabic" w:hAnsi="Traditional Arabic"/>
          <w:b w:val="false"/>
          <w:bCs w:val="false"/>
          <w:i w:val="false"/>
          <w:iCs w:val="false"/>
          <w:sz w:val="28"/>
          <w:szCs w:val="28"/>
          <w:rtl/>
        </w:rPr>
        <w:t xml:space="preserve">. وقال: </w:t>
      </w:r>
      <w:r>
        <w:rPr>
          <w:rFonts w:ascii="Traditional Arabic" w:cs="Traditional Arabic" w:eastAsia="Traditional Arabic" w:hAnsi="Traditional Arabic"/>
          <w:b/>
          <w:bCs/>
          <w:i w:val="false"/>
          <w:iCs w:val="false"/>
          <w:sz w:val="28"/>
          <w:szCs w:val="28"/>
          <w:rtl/>
        </w:rPr>
        <w:t xml:space="preserve">«لا يؤمنُ أحدُكم حتى يُحبَّ لأخيه ما يُحبُّ لنفسه»</w:t>
      </w:r>
      <w:r>
        <w:rPr>
          <w:rFonts w:ascii="Traditional Arabic" w:cs="Traditional Arabic" w:eastAsia="Traditional Arabic" w:hAnsi="Traditional Arabic"/>
          <w:b w:val="false"/>
          <w:bCs w:val="false"/>
          <w:i w:val="false"/>
          <w:iCs w:val="false"/>
          <w:sz w:val="28"/>
          <w:szCs w:val="28"/>
          <w:rtl/>
        </w:rPr>
        <w:t xml:space="preserve">. متفقٌ عليه.</w:t>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أسبابُه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١) </w:t>
      </w:r>
      <w:r>
        <w:rPr>
          <w:rFonts w:ascii="Traditional Arabic" w:cs="Traditional Arabic" w:eastAsia="Traditional Arabic" w:hAnsi="Traditional Arabic"/>
          <w:b/>
          <w:bCs/>
          <w:i w:val="false"/>
          <w:iCs w:val="false"/>
          <w:sz w:val="28"/>
          <w:szCs w:val="28"/>
          <w:rtl/>
        </w:rPr>
        <w:t xml:space="preserve">الكِبْر</w:t>
      </w:r>
      <w:r>
        <w:rPr>
          <w:rFonts w:ascii="Traditional Arabic" w:cs="Traditional Arabic" w:eastAsia="Traditional Arabic" w:hAnsi="Traditional Arabic"/>
          <w:b w:val="false"/>
          <w:bCs w:val="false"/>
          <w:i w:val="false"/>
          <w:iCs w:val="false"/>
          <w:sz w:val="28"/>
          <w:szCs w:val="28"/>
          <w:rtl/>
        </w:rPr>
        <w:t xml:space="preserve">؛ فيرى نفسَه أفضلَ من كلِّ أحدٍ فلا يُريد لأحدٍ أن يرتفع. </w:t>
      </w:r>
      <w:r>
        <w:rPr>
          <w:rFonts w:ascii="Traditional Arabic" w:cs="Traditional Arabic" w:eastAsia="Traditional Arabic" w:hAnsi="Traditional Arabic"/>
          <w:b/>
          <w:bCs/>
          <w:i w:val="false"/>
          <w:iCs w:val="false"/>
          <w:sz w:val="28"/>
          <w:szCs w:val="28"/>
          <w:rtl/>
        </w:rPr>
        <w:t xml:space="preserve">وقد قال غيرُ واحدٍ من المفسّرين: إنّ الحسدَ أوّلُ معصيةٍ عُصيَ اللهُ بها؛ فهو مرضُ إبليس: ﴿أَأَسْجُدُ لِمَنْ خَلَقْتَ طِينًا﴾</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٢) </w:t>
      </w:r>
      <w:r>
        <w:rPr>
          <w:rFonts w:ascii="Traditional Arabic" w:cs="Traditional Arabic" w:eastAsia="Traditional Arabic" w:hAnsi="Traditional Arabic"/>
          <w:b/>
          <w:bCs/>
          <w:i w:val="false"/>
          <w:iCs w:val="false"/>
          <w:sz w:val="28"/>
          <w:szCs w:val="28"/>
          <w:rtl/>
        </w:rPr>
        <w:t xml:space="preserve">حبُّ الرئاسة والجاه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فالنفسُ التي تطمح للتصدُّر إذا سُبِقت إلى الميدان اشتعل القلبُ نارَ حسد</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وتأمّلْ حال أبي جهل: ما الذي حال بينه وبين الصادق الأمين ﷺ؟ الحسدُ أن يكون النبيُّ من غير قومه!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ورأسُ النفاق ابنُ سَلولٍ: كانت الأوسُ والخزرجُ قد أوشكوا أن يُتوِّجوه ملِكًا، فلمّا قدِم رسولُ الله ﷺ وبايعه الأنصارُ سُحِب البساطُ من تحت قدميه — فآذى رسولَ الله ﷺ، فاستحقّ بالحسد والنفاق أن يكون في الدرك الأسفل من النار</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٣) وكذلك </w:t>
      </w:r>
      <w:r>
        <w:rPr>
          <w:rFonts w:ascii="Traditional Arabic" w:cs="Traditional Arabic" w:eastAsia="Traditional Arabic" w:hAnsi="Traditional Arabic"/>
          <w:b/>
          <w:bCs/>
          <w:i w:val="false"/>
          <w:iCs w:val="false"/>
          <w:sz w:val="28"/>
          <w:szCs w:val="28"/>
          <w:rtl/>
        </w:rPr>
        <w:t xml:space="preserve">إخوةُ يوسف ﵇</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أتُصدِّق أنّ أبناءَ نبيٍّ كريمٍ يُلقون صغيرًا في بئرٍ ثم يبيعونه رقيقًا؟!</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إنّه الحسد: ﴿لَيُوسُفُ وَأَخُوهُ أَحَبُّ إِلَىٰ أَبِينَا مِنَّا وَنَحْنُ عُصْبَةٌ﴾</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فاحذَرْ؛ فإنّ الحسدَ يستحيلُ عداوةً بل قتلًا — كما في قصّة ابنَي آدم وقصّة إخوة يوسف</w:t>
      </w:r>
      <w:r>
        <w:rPr>
          <w:rFonts w:ascii="Traditional Arabic" w:cs="Traditional Arabic" w:eastAsia="Traditional Arabic" w:hAnsi="Traditional Arabic"/>
          <w:b w:val="false"/>
          <w:bCs w:val="false"/>
          <w:i w:val="false"/>
          <w:iCs w:val="false"/>
          <w:sz w:val="28"/>
          <w:szCs w:val="28"/>
          <w:rtl/>
        </w:rPr>
        <w:t xml:space="preserve">.</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علاجُه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١) </w:t>
      </w:r>
      <w:r>
        <w:rPr>
          <w:rFonts w:ascii="Traditional Arabic" w:cs="Traditional Arabic" w:eastAsia="Traditional Arabic" w:hAnsi="Traditional Arabic"/>
          <w:b/>
          <w:bCs/>
          <w:i w:val="false"/>
          <w:iCs w:val="false"/>
          <w:sz w:val="28"/>
          <w:szCs w:val="28"/>
          <w:rtl/>
        </w:rPr>
        <w:t xml:space="preserve">سؤالُ الله العافيةَ منه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فتوجَّهْ بقلبك إلى مُقلِّب القلوب أن ينزع الحسدَ من قلبك، وأكثِرْ من الدعاء أن يرزقك قلبًا سليمًا. وواللهِ ما توجّه قلبٌ إلى خالقه إلا أكرمه اللهُ وعافاه</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٢) </w:t>
      </w:r>
      <w:r>
        <w:rPr>
          <w:rFonts w:ascii="Traditional Arabic" w:cs="Traditional Arabic" w:eastAsia="Traditional Arabic" w:hAnsi="Traditional Arabic"/>
          <w:b/>
          <w:bCs/>
          <w:i w:val="false"/>
          <w:iCs w:val="false"/>
          <w:sz w:val="28"/>
          <w:szCs w:val="28"/>
          <w:rtl/>
        </w:rPr>
        <w:t xml:space="preserve">قطعُ تعلُّق القلب بالدنيا</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فهذه الدنيا التي نتحاسد ونتقاتل عليها — أخرِجْها من قلبك، واعلم أنّك لن تُغادِرَها ولك فيها رزقٌ باقٍ. فلِمَ تحسد غيرك؟</w:t>
      </w:r>
      <w:r>
        <w:rPr>
          <w:rFonts w:ascii="Traditional Arabic" w:cs="Traditional Arabic" w:eastAsia="Traditional Arabic" w:hAnsi="Traditional Arabic"/>
          <w:b w:val="false"/>
          <w:bCs w:val="false"/>
          <w:i w:val="false"/>
          <w:iCs w:val="false"/>
          <w:sz w:val="28"/>
          <w:szCs w:val="28"/>
          <w:rtl/>
        </w:rPr>
        <w:t xml:space="preserve"> وقال ﷺ: </w:t>
      </w:r>
      <w:r>
        <w:rPr>
          <w:rFonts w:ascii="Traditional Arabic" w:cs="Traditional Arabic" w:eastAsia="Traditional Arabic" w:hAnsi="Traditional Arabic"/>
          <w:b/>
          <w:bCs/>
          <w:i w:val="false"/>
          <w:iCs w:val="false"/>
          <w:sz w:val="28"/>
          <w:szCs w:val="28"/>
          <w:rtl/>
        </w:rPr>
        <w:t xml:space="preserve">«ومَن كانت الدنيا همَّه فرّق اللهُ عليه أمرَه، وجعل فقرَه بين عينيه، ولم يأتِه من الدنيا إلا ما قُدِّر له»</w:t>
      </w:r>
      <w:r>
        <w:rPr>
          <w:rStyle w:val="FootnoteReference"/>
        </w:rPr>
        <w:footnoteReference w:id="20"/>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٣) </w:t>
      </w:r>
      <w:r>
        <w:rPr>
          <w:rFonts w:ascii="Traditional Arabic" w:cs="Traditional Arabic" w:eastAsia="Traditional Arabic" w:hAnsi="Traditional Arabic"/>
          <w:b/>
          <w:bCs/>
          <w:i w:val="false"/>
          <w:iCs w:val="false"/>
          <w:sz w:val="28"/>
          <w:szCs w:val="28"/>
          <w:rtl/>
        </w:rPr>
        <w:t xml:space="preserve">الدعاءُ للمُنعَم عليه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فإذا رأيتَ صاحبَ نعمةٍ فالتفت قلبُك إليه وبدأت النارُ بالاتّقاد — فادعُ له</w:t>
      </w:r>
      <w:r>
        <w:rPr>
          <w:rFonts w:ascii="Traditional Arabic" w:cs="Traditional Arabic" w:eastAsia="Traditional Arabic" w:hAnsi="Traditional Arabic"/>
          <w:b w:val="false"/>
          <w:bCs w:val="false"/>
          <w:i w:val="false"/>
          <w:iCs w:val="false"/>
          <w:sz w:val="28"/>
          <w:szCs w:val="28"/>
          <w:rtl/>
        </w:rPr>
        <w:t xml:space="preserve">؛ كما علّمنا ﷺ حين قال لمن أُعجِب بجَمال أخيه: </w:t>
      </w:r>
      <w:r>
        <w:rPr>
          <w:rFonts w:ascii="Traditional Arabic" w:cs="Traditional Arabic" w:eastAsia="Traditional Arabic" w:hAnsi="Traditional Arabic"/>
          <w:b/>
          <w:bCs/>
          <w:i w:val="false"/>
          <w:iCs w:val="false"/>
          <w:sz w:val="28"/>
          <w:szCs w:val="28"/>
          <w:rtl/>
        </w:rPr>
        <w:t xml:space="preserve">«ألا برّكتَ؟ إذا رأى أحدُكم من أخيه ما يُعجِبه فليدعُ له بالبركة»</w:t>
      </w:r>
      <w:r>
        <w:rPr>
          <w:rStyle w:val="FootnoteReference"/>
        </w:rPr>
        <w:footnoteReference w:id="21"/>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وعليك ملَكٌ مُوكَّلٌ يقول: آمين، ولك بمثله!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٤) </w:t>
      </w:r>
      <w:r>
        <w:rPr>
          <w:rFonts w:ascii="Traditional Arabic" w:cs="Traditional Arabic" w:eastAsia="Traditional Arabic" w:hAnsi="Traditional Arabic"/>
          <w:b/>
          <w:bCs/>
          <w:i w:val="false"/>
          <w:iCs w:val="false"/>
          <w:sz w:val="28"/>
          <w:szCs w:val="28"/>
          <w:rtl/>
        </w:rPr>
        <w:t xml:space="preserve">أن تُحبَّ الخيرَ لغيرك</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فكلُّ خيرٍ تتمنّاه لنفسك تمنَّه لإخوانك — يقينًا سيعيش قلبُك بسلامٍ وسكينة</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وستُفارق أخلاقَ اليهود الذين حسدوا رسولَ الله ﷺ وناصبوه العداء من ذلك الزمان إلى زماننا</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فإنّ هذه الأمّةَ إذا أحبَّ أفرادُها الخيرَ للغير كانت أمّةً قويّةً تستردُّ مكانَها ومقدّساتها؛ </w:t>
      </w:r>
      <w:r>
        <w:rPr>
          <w:rFonts w:ascii="Traditional Arabic" w:cs="Traditional Arabic" w:eastAsia="Traditional Arabic" w:hAnsi="Traditional Arabic"/>
          <w:b/>
          <w:bCs/>
          <w:i w:val="false"/>
          <w:iCs w:val="false"/>
          <w:sz w:val="28"/>
          <w:szCs w:val="28"/>
          <w:rtl/>
        </w:rPr>
        <w:t xml:space="preserve">وأمّا الأمّةُ التي يسودها الحسدُ والبغضاء فإنّها تعيش الغُثائيّة — وأقبِحْ بها من غُثائيّة!</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أن نرى شِرذمةً من اليهود يفزعون لنصرة إخوانهم، ومِلياري مسلمٍ يرَون قتلَ أمّةٍ مستضعفةٍ على ثرى غزّةَ فلا يُحرِّكون ساكنًا!</w:t>
      </w:r>
      <w:r>
        <w:rPr>
          <w:rFonts w:ascii="Traditional Arabic" w:cs="Traditional Arabic" w:eastAsia="Traditional Arabic" w:hAnsi="Traditional Arabic"/>
          <w:b/>
          <w:bCs/>
          <w:i w:val="false"/>
          <w:iCs w:val="false"/>
          <w:sz w:val="28"/>
          <w:szCs w:val="28"/>
          <w:rtl/>
        </w:rPr>
        <w:t xml:space="preserve">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(٣٣٧٧) وابن ماجه وأحمد والحاكم من حديث أبي الدرداء ﵁، وصحّحه الألباني في «صحيح الجامع» (٢٦٢٩) و«السلسلة الصحيحة» (١٤٩٧).</w:t>
      </w:r>
    </w:p>
  </w:footnote>
  <w:footnote w:id="2">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انظر: «الوابل الصيّب من الكلم الطيّب» لابن القيّم؛ وأخبارُ الحسن في «حلية الأولياء» لأبي نعيم.</w:t>
      </w:r>
    </w:p>
  </w:footnote>
  <w:footnote w:id="3">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خبرٌ في كتب الرقائق عند ابن أبي الدنيا وغيره؛ لا يصحُّ رفعُه ولا يُبنى عليه حكم، وإنّما يُساق للاعتبار. وأصلُ فضل أذكار الصباح والمساء ثابتٌ في السنّة.</w:t>
      </w:r>
    </w:p>
  </w:footnote>
  <w:footnote w:id="4">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(٢٣٩٩) وأحمد من حديث أبي هريرة ﵁. قال الترمذي: «حسنٌ صحيح»، وصحّحه الألباني في «صحيح الجامع» (٥٨١٥) و«السلسلة الصحيحة» (٢٢٨٠).</w:t>
      </w:r>
    </w:p>
  </w:footnote>
  <w:footnote w:id="5">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(٢٣٩٦) وابن ماجه من حديث أنسٍ ﵁، وحسّنه الألباني في «صحيح الجامع» (٢١١٠) و«السلسلة الصحيحة» (١٤٦).</w:t>
      </w:r>
    </w:p>
  </w:footnote>
  <w:footnote w:id="6">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من الإسرائيليّات المرويّة عن وهب بن مُنبِّه في كتب الزهد؛ لا يصحُّ رفعُه ولا يُبنى عليه حكم، وإنّما يُساق للاعتبار. وأصلُ المعنى ثابتٌ في حديث «إنّ عِظَمَ الجزاء مع عِظَم البلاء».</w:t>
      </w:r>
    </w:p>
  </w:footnote>
  <w:footnote w:id="7">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خبرٌ مشهور في ترجمة عروة بن الزبير ﵀ عند الذهبي في «سير أعلام النبلاء» وابن الجوزي؛ وهو من أخبار التراجم لا من المرفوع.</w:t>
      </w:r>
    </w:p>
  </w:footnote>
  <w:footnote w:id="8">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(٢٤٧٠) من حديث عائشة ﵂، وصحّحه الألباني في «صحيح الترمذي» و«السلسلة الصحيحة» (٢٥٤٤).</w:t>
      </w:r>
    </w:p>
  </w:footnote>
  <w:footnote w:id="9">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(٦١٤) وابن ماجه وأحمد من حديث معاذ بن جبلٍ ﵁، وصحّحه الألباني في «صحيح الجامع» (٥١٣٦) و«الإرواء» (٤١٣).</w:t>
      </w:r>
    </w:p>
  </w:footnote>
  <w:footnote w:id="10">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الطبراني في «الكبير» من حديث أمّ سلمة ﵂ وغيرها، وصحّحه الألباني في «صحيح الجامع» (٣٧٩٦) و«السلسلة الصحيحة» (١٩٠٨).</w:t>
      </w:r>
    </w:p>
  </w:footnote>
  <w:footnote w:id="11">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(٢٦٢١) والنسائي وابن ماجه وأحمد من حديث بريدة ﵁، وصحّحه الألباني في «صحيح الجامع» (٤١٤٣) و«الإرواء» (٢٠٩).</w:t>
      </w:r>
    </w:p>
  </w:footnote>
  <w:footnote w:id="12">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(٢٦٢٢) عن عبد الله بن شقيقٍ العقيليّ، وصحّح إسنادَه الألباني في «صحيح الترمذي».</w:t>
      </w:r>
    </w:p>
  </w:footnote>
  <w:footnote w:id="13">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مالك في «الموطأ» وعبد الرزاق في «مصنّفه»؛ وهو أثرٌ ثابتٌ عن عمر ﵁.</w:t>
      </w:r>
    </w:p>
  </w:footnote>
  <w:footnote w:id="14">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أبو داود (٥١٥٦) وابن ماجه وأحمد من حديث أمّ سلمة ﵂ وعليٍّ ﵁، وصحّحه الألباني في «صحيح أبي داود» (٤٢٩٠) و«الإرواء» (٢١٧٨).</w:t>
      </w:r>
    </w:p>
  </w:footnote>
  <w:footnote w:id="15">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أحمد (٢/١٦٩) والدارمي والطبراني من حديث عبد الله بن عمرو ﵄، وحسّنه الألباني في «صحيح الترغيب» (٥٧٤) و«السلسلة الصحيحة» (١١٦٥).</w:t>
      </w:r>
    </w:p>
  </w:footnote>
  <w:footnote w:id="16">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أبو داود (٤٩٥) وأحمد والحاكم من حديث عمرو بن شعيبٍ عن أبيه عن جدّه، وحسّنه الألباني في «صحيح أبي داود» (٥٠٩) و«الإرواء» (٢٤٧).</w:t>
      </w:r>
    </w:p>
  </w:footnote>
  <w:footnote w:id="17">
    <w:p>
      <w:pPr>
        <w:bidi/>
        <w:jc w:val="right"/>
      </w:pPr>
      <w:r>
        <w:rPr>
          <w:rStyle w:val="FootnoteReference"/>
        </w:rPr>
        <w:footnoteRef/>
      </w:r>
      <w:r>
        <w:rPr>
          <w:rFonts w:ascii="Traditional Arabic" w:cs="Traditional Arabic" w:eastAsia="Traditional Arabic" w:hAnsi="Traditional Arabic"/>
          <w:sz w:val="20"/>
          <w:szCs w:val="20"/>
          <w:rtl/>
        </w:rPr>
        <w:t xml:space="preserve">من أقوال السلف في الرقائق؛ ذكرها ابن قدامة في «مختصر منهاج القاصدين» وأبو نعيم في «الحلية». تُساق للاعتبار لا للاحتجاج.</w:t>
      </w:r>
    </w:p>
  </w:footnote>
  <w:footnote w:id="18">
    <w:p>
      <w:pPr>
        <w:bidi/>
        <w:jc w:val="right"/>
      </w:pPr>
      <w:r>
        <w:rPr>
          <w:rStyle w:val="FootnoteReference"/>
        </w:rPr>
        <w:footnoteRef/>
      </w:r>
      <w:r>
        <w:rPr>
          <w:rFonts w:ascii="Traditional Arabic" w:cs="Traditional Arabic" w:eastAsia="Traditional Arabic" w:hAnsi="Traditional Arabic"/>
          <w:sz w:val="20"/>
          <w:szCs w:val="20"/>
          <w:rtl/>
        </w:rPr>
        <w:t xml:space="preserve">رواه ابن ماجه (٤٢١٦) من حديث عبد الله بن عمرو ﵄، وصحّحه الألباني في «صحيح الجامع» (٣٢٩١) و«السلسلة الصحيحة» (٩٤٨).</w:t>
      </w:r>
    </w:p>
  </w:footnote>
  <w:footnote w:id="19">
    <w:p>
      <w:pPr>
        <w:bidi/>
        <w:jc w:val="right"/>
      </w:pPr>
      <w:r>
        <w:rPr>
          <w:rStyle w:val="FootnoteReference"/>
        </w:rPr>
        <w:footnoteRef/>
      </w:r>
      <w:r>
        <w:rPr>
          <w:rFonts w:ascii="Traditional Arabic" w:cs="Traditional Arabic" w:eastAsia="Traditional Arabic" w:hAnsi="Traditional Arabic"/>
          <w:sz w:val="20"/>
          <w:szCs w:val="20"/>
          <w:rtl/>
        </w:rPr>
        <w:t xml:space="preserve">رواه ابن حبان والنسائي في «الكبرى» من حديث أبي هريرة ﵁، وحسّنه الألباني في «صحيح الجامع» (٧٦١٦) و«صحيح الترغيب» (٢٥٦٩).</w:t>
      </w:r>
    </w:p>
  </w:footnote>
  <w:footnote w:id="20">
    <w:p>
      <w:pPr>
        <w:bidi/>
        <w:jc w:val="right"/>
      </w:pPr>
      <w:r>
        <w:rPr>
          <w:rStyle w:val="FootnoteReference"/>
        </w:rPr>
        <w:footnoteRef/>
      </w:r>
      <w:r>
        <w:rPr>
          <w:rFonts w:ascii="Traditional Arabic" w:cs="Traditional Arabic" w:eastAsia="Traditional Arabic" w:hAnsi="Traditional Arabic"/>
          <w:sz w:val="20"/>
          <w:szCs w:val="20"/>
          <w:rtl/>
        </w:rPr>
        <w:t xml:space="preserve">رواه الترمذي (٢٤٦٥) وابن ماجه من حديث أنسٍ ﵁ وزيد بن ثابتٍ ﵁، وصحّحه الألباني في «صحيح الجامع» (٦٥١٦) و«السلسلة الصحيحة» (٩٤٩).</w:t>
      </w:r>
    </w:p>
  </w:footnote>
  <w:footnote w:id="21">
    <w:p>
      <w:pPr>
        <w:bidi/>
        <w:jc w:val="right"/>
      </w:pPr>
      <w:r>
        <w:rPr>
          <w:rStyle w:val="FootnoteReference"/>
        </w:rPr>
        <w:footnoteRef/>
      </w:r>
      <w:r>
        <w:rPr>
          <w:rFonts w:ascii="Traditional Arabic" w:cs="Traditional Arabic" w:eastAsia="Traditional Arabic" w:hAnsi="Traditional Arabic"/>
          <w:sz w:val="20"/>
          <w:szCs w:val="20"/>
          <w:rtl/>
        </w:rPr>
        <w:t xml:space="preserve">رواه ابن ماجه (٣٥٠٩) وأحمد من حديث سهل بن حُنيفٍ ﵁ في قصّة عامر بن ربيعة، وصحّحه الألباني في «صحيح الجامع» (٥٥٦) و«الكلم الطيّب».</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الحسد — آثارُه وأسبابُه وعلاجُه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2026-08-02T14:00:53.413Z</dcterms:created>
  <dcterms:modified xsi:type="dcterms:W3CDTF">2026-08-02T14:00:53.413Z</dcterms:modified>
</cp:coreProperties>
</file>

<file path=docProps/custom.xml><?xml version="1.0" encoding="utf-8"?>
<Properties xmlns="http://schemas.openxmlformats.org/officeDocument/2006/custom-properties" xmlns:vt="http://schemas.openxmlformats.org/officeDocument/2006/docPropsVTypes"/>
</file>