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﴿وَلَا تَنَازَعُوا فَتَفْشَلُوا وَتَذْهَبَ رِيحُكُمْ﴾</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الاختلافِ الخمسة وآثارُه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تقدّمت فرسٌ خطوةً فاشرأبّت الأعناقُ والسيوفُ مُغمَدة، ثم تقدّمت أخرى فامتدّت الأيدي إلى مقابض السيوف. </w:t>
      </w:r>
      <w:r>
        <w:rPr>
          <w:rFonts w:ascii="Traditional Arabic" w:cs="Traditional Arabic" w:eastAsia="Traditional Arabic" w:hAnsi="Traditional Arabic"/>
          <w:b/>
          <w:bCs/>
          <w:i w:val="false"/>
          <w:iCs w:val="false"/>
          <w:sz w:val="28"/>
          <w:szCs w:val="28"/>
          <w:rtl/>
        </w:rPr>
        <w:t xml:space="preserve">داحسٌ والغبراء!</w:t>
      </w:r>
      <w:r>
        <w:rPr>
          <w:rFonts w:ascii="Traditional Arabic" w:cs="Traditional Arabic" w:eastAsia="Traditional Arabic" w:hAnsi="Traditional Arabic"/>
          <w:b w:val="false"/>
          <w:bCs w:val="false"/>
          <w:i w:val="false"/>
          <w:iCs w:val="false"/>
          <w:sz w:val="28"/>
          <w:szCs w:val="28"/>
          <w:rtl/>
        </w:rPr>
        <w:t xml:space="preserve"> فتفجّرت أنهارُ الدماء أربعين عامًا؛ ظلامٌ وجاهليّةٌ وغُثائيّة — حتى شعّ ذلك النورُ في ثرى مكّة، فاجتمعت القلوبُ على منبعٍ صافٍ ومنهجٍ واحدٍ وعقيدةٍ واحدة، </w:t>
      </w:r>
      <w:r>
        <w:rPr>
          <w:rFonts w:ascii="Traditional Arabic" w:cs="Traditional Arabic" w:eastAsia="Traditional Arabic" w:hAnsi="Traditional Arabic"/>
          <w:b/>
          <w:bCs/>
          <w:i w:val="false"/>
          <w:iCs w:val="false"/>
          <w:sz w:val="28"/>
          <w:szCs w:val="28"/>
          <w:rtl/>
        </w:rPr>
        <w:t xml:space="preserve">فسادها القوّةُ والعزّةُ والأنَفة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لي أرى اليومَ داحسًا والغبراءَ بيننا؟ وما لي أرى حربَ البَسوس تُطِلُّ بأعناقها؟ وما لي أرى ملوكَ الطوائف — </w:t>
      </w:r>
      <w:r>
        <w:rPr>
          <w:rFonts w:ascii="Traditional Arabic" w:cs="Traditional Arabic" w:eastAsia="Traditional Arabic" w:hAnsi="Traditional Arabic"/>
          <w:b/>
          <w:bCs/>
          <w:i w:val="false"/>
          <w:iCs w:val="false"/>
          <w:sz w:val="28"/>
          <w:szCs w:val="28"/>
          <w:rtl/>
        </w:rPr>
        <w:t xml:space="preserve">في وقتٍ تُراق فيه الدماءُ وتُنتَهك فيه الأعراضُ وتتخلخل فيه الثوابت؟</w:t>
      </w:r>
      <w:r>
        <w:rPr>
          <w:rFonts w:ascii="Traditional Arabic" w:cs="Traditional Arabic" w:eastAsia="Traditional Arabic" w:hAnsi="Traditional Arabic"/>
          <w:b w:val="false"/>
          <w:bCs w:val="false"/>
          <w:i w:val="false"/>
          <w:iCs w:val="false"/>
          <w:sz w:val="28"/>
          <w:szCs w:val="28"/>
          <w:rtl/>
        </w:rPr>
        <w:t xml:space="preserve"> فحديثي اليوم عن </w:t>
      </w:r>
      <w:r>
        <w:rPr>
          <w:rFonts w:ascii="Traditional Arabic" w:cs="Traditional Arabic" w:eastAsia="Traditional Arabic" w:hAnsi="Traditional Arabic"/>
          <w:b/>
          <w:bCs/>
          <w:i w:val="false"/>
          <w:iCs w:val="false"/>
          <w:sz w:val="28"/>
          <w:szCs w:val="28"/>
          <w:rtl/>
        </w:rPr>
        <w:t xml:space="preserve">أسباب الاختلاف والتفرّق وآثاره</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أسبابُ التفرّق</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عدمُ العناية بالعقيدة والتوحيد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هذه الأمّةَ لمّا أخطأت طريقَ التوحيد وتلبّس أقوامٌ منها بالشرك — ما اجتمعت على عقيدة. واللهُ يقول: </w:t>
      </w:r>
      <w:r>
        <w:rPr>
          <w:rFonts w:ascii="Traditional Arabic" w:cs="Traditional Arabic" w:eastAsia="Traditional Arabic" w:hAnsi="Traditional Arabic"/>
          <w:b/>
          <w:bCs/>
          <w:i w:val="false"/>
          <w:iCs w:val="false"/>
          <w:sz w:val="28"/>
          <w:szCs w:val="28"/>
          <w:rtl/>
        </w:rPr>
        <w:t xml:space="preserve">﴿وَلَا تَكُونُوا مِنَ الْمُشْرِكِينَ • مِنَ الَّذِينَ فَرَّقُوا دِينَهُمْ وَكَانُوا شِيَعًا﴾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فلا اجتماعَ لهذه الأمّة ألبتّةَ إن لم تجتمع قلوبُها وتُسلِمْ ألسنتُها وتُذعِنْ جوارحُها للواحد الأحد</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عدمُ الاعتصام بالكتاب والسنّة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﴿وَاعْتَصِمُوا بِحَبْلِ اللَّهِ جَمِيعًا وَلَا تَفَرَّقُوا﴾. </w:t>
      </w:r>
      <w:r>
        <w:rPr>
          <w:rFonts w:ascii="Traditional Arabic" w:cs="Traditional Arabic" w:eastAsia="Traditional Arabic" w:hAnsi="Traditional Arabic"/>
          <w:b/>
          <w:bCs/>
          <w:i w:val="false"/>
          <w:iCs w:val="false"/>
          <w:sz w:val="28"/>
          <w:szCs w:val="28"/>
          <w:rtl/>
        </w:rPr>
        <w:t xml:space="preserve">وأمّتُنا اليوم لا تصدُر عن الكتاب والسنّة</w:t>
      </w:r>
      <w:r>
        <w:rPr>
          <w:rFonts w:ascii="Traditional Arabic" w:cs="Traditional Arabic" w:eastAsia="Traditional Arabic" w:hAnsi="Traditional Arabic"/>
          <w:b w:val="false"/>
          <w:bCs w:val="false"/>
          <w:i w:val="false"/>
          <w:iCs w:val="false"/>
          <w:sz w:val="28"/>
          <w:szCs w:val="28"/>
          <w:rtl/>
        </w:rPr>
        <w:t xml:space="preserve">؛ تأمّلوا في أحوال المسلمين: </w:t>
      </w:r>
      <w:r>
        <w:rPr>
          <w:rFonts w:ascii="Traditional Arabic" w:cs="Traditional Arabic" w:eastAsia="Traditional Arabic" w:hAnsi="Traditional Arabic"/>
          <w:b/>
          <w:bCs/>
          <w:i w:val="false"/>
          <w:iCs w:val="false"/>
          <w:sz w:val="28"/>
          <w:szCs w:val="28"/>
          <w:rtl/>
        </w:rPr>
        <w:t xml:space="preserve">ذاك يصدُر عن اشتراكيّة، وآخرُ عن قوميّة، وثالثٌ عن حزبيّة، ورابعٌ عن قَبَليّةٍ ومناطقيّة</w:t>
      </w:r>
      <w:r>
        <w:rPr>
          <w:rFonts w:ascii="Traditional Arabic" w:cs="Traditional Arabic" w:eastAsia="Traditional Arabic" w:hAnsi="Traditional Arabic"/>
          <w:b w:val="false"/>
          <w:bCs w:val="false"/>
          <w:i w:val="false"/>
          <w:iCs w:val="false"/>
          <w:sz w:val="28"/>
          <w:szCs w:val="28"/>
          <w:rtl/>
        </w:rPr>
        <w:t xml:space="preserve"> — ولا محلَّ للكتاب والسنّة! فكيف تجتمع القلوبُ إن لم تصدُرْ عن مشكاةٍ واحدة؟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عملُ أذرُع الصهاينة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هذه الأمّةَ تعمل فيها أذرعٌ صباحَ مساء عبر منصّاتٍ وقنواتٍ ومؤسّسات، </w:t>
      </w:r>
      <w:r>
        <w:rPr>
          <w:rFonts w:ascii="Traditional Arabic" w:cs="Traditional Arabic" w:eastAsia="Traditional Arabic" w:hAnsi="Traditional Arabic"/>
          <w:b/>
          <w:bCs/>
          <w:i w:val="false"/>
          <w:iCs w:val="false"/>
          <w:sz w:val="28"/>
          <w:szCs w:val="28"/>
          <w:rtl/>
        </w:rPr>
        <w:t xml:space="preserve">تُمزِّق الأمّة: تارةً تدعو إلى الوطنيّة، وتارةً إلى القوميّة، وتارةً إلى أمورٍ جاهليّة</w:t>
      </w:r>
      <w:r>
        <w:rPr>
          <w:rFonts w:ascii="Traditional Arabic" w:cs="Traditional Arabic" w:eastAsia="Traditional Arabic" w:hAnsi="Traditional Arabic"/>
          <w:b w:val="false"/>
          <w:bCs w:val="false"/>
          <w:i w:val="false"/>
          <w:iCs w:val="false"/>
          <w:sz w:val="28"/>
          <w:szCs w:val="28"/>
          <w:rtl/>
        </w:rPr>
        <w:t xml:space="preserve">. وانظروا كيف بُتِرت القضيّةُ الفلسطينيّة عن جسد الأمّة، بل صُوِّر المجاهدون إرهابيّين قتلة، </w:t>
      </w:r>
      <w:r>
        <w:rPr>
          <w:rFonts w:ascii="Traditional Arabic" w:cs="Traditional Arabic" w:eastAsia="Traditional Arabic" w:hAnsi="Traditional Arabic"/>
          <w:b/>
          <w:bCs/>
          <w:i w:val="false"/>
          <w:iCs w:val="false"/>
          <w:sz w:val="28"/>
          <w:szCs w:val="28"/>
          <w:rtl/>
        </w:rPr>
        <w:t xml:space="preserve">وأمّا اليهودُ فحمائمُ سلامٍ ودعاةُ إنسانيّة!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ويُربّى الجيلُ على أنّك أردنيٌّ أو عراقيٌّ أو سوريٌّ أو سعوديٌّ أو مصريّ — </w:t>
      </w:r>
      <w:r>
        <w:rPr>
          <w:rFonts w:ascii="Traditional Arabic" w:cs="Traditional Arabic" w:eastAsia="Traditional Arabic" w:hAnsi="Traditional Arabic"/>
          <w:b/>
          <w:bCs/>
          <w:i w:val="false"/>
          <w:iCs w:val="false"/>
          <w:sz w:val="28"/>
          <w:szCs w:val="28"/>
          <w:rtl/>
        </w:rPr>
        <w:t xml:space="preserve">انتمِ إلى كلِّ انتماءٍ إلا انتماءً واحدًا يُحرَّم عليك أن تنتميَ إليه!</w:t>
      </w:r>
      <w:r>
        <w:rPr>
          <w:rFonts w:ascii="Traditional Arabic" w:cs="Traditional Arabic" w:eastAsia="Traditional Arabic" w:hAnsi="Traditional Arabic"/>
          <w:b w:val="false"/>
          <w:bCs w:val="false"/>
          <w:i w:val="false"/>
          <w:iCs w:val="false"/>
          <w:sz w:val="28"/>
          <w:szCs w:val="28"/>
          <w:rtl/>
        </w:rPr>
        <w:t xml:space="preserve"> مع أنّ خصمك رفع شعار الديانة على اسم دولته، </w:t>
      </w:r>
      <w:r>
        <w:rPr>
          <w:rFonts w:ascii="Traditional Arabic" w:cs="Traditional Arabic" w:eastAsia="Traditional Arabic" w:hAnsi="Traditional Arabic"/>
          <w:b/>
          <w:bCs/>
          <w:i w:val="false"/>
          <w:iCs w:val="false"/>
          <w:sz w:val="28"/>
          <w:szCs w:val="28"/>
          <w:rtl/>
        </w:rPr>
        <w:t xml:space="preserve">ليكون انتماؤه انتماءً عقديًّا، وأمّا انتماؤنا فلا يمتُّ إلى الدين بصلة!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العصبيّاتُ الجاهليّة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إنّنا اليوم في بيتٍ واحدٍ يقوم ولاؤنا وبراؤنا على أنديةٍ كرويّةٍ وعلى دماءٍ قبليّة، </w:t>
      </w:r>
      <w:r>
        <w:rPr>
          <w:rFonts w:ascii="Traditional Arabic" w:cs="Traditional Arabic" w:eastAsia="Traditional Arabic" w:hAnsi="Traditional Arabic"/>
          <w:b/>
          <w:bCs/>
          <w:i w:val="false"/>
          <w:iCs w:val="false"/>
          <w:sz w:val="28"/>
          <w:szCs w:val="28"/>
          <w:rtl/>
        </w:rPr>
        <w:t xml:space="preserve">وعلى أوضارِ الجاهليّة التي حطّمها الإسلام فأقام المعيارَ على التقوى</w:t>
      </w:r>
      <w:r>
        <w:rPr>
          <w:rFonts w:ascii="Traditional Arabic" w:cs="Traditional Arabic" w:eastAsia="Traditional Arabic" w:hAnsi="Traditional Arabic"/>
          <w:b w:val="false"/>
          <w:bCs w:val="false"/>
          <w:i w:val="false"/>
          <w:iCs w:val="false"/>
          <w:sz w:val="28"/>
          <w:szCs w:val="28"/>
          <w:rtl/>
        </w:rPr>
        <w:t xml:space="preserve">. وإنّك لتقرأ ﴿تَبَّتْ يَدَا أَبِي لَهَبٍ وَتَبَّ﴾ — </w:t>
      </w:r>
      <w:r>
        <w:rPr>
          <w:rFonts w:ascii="Traditional Arabic" w:cs="Traditional Arabic" w:eastAsia="Traditional Arabic" w:hAnsi="Traditional Arabic"/>
          <w:b/>
          <w:bCs/>
          <w:i w:val="false"/>
          <w:iCs w:val="false"/>
          <w:sz w:val="28"/>
          <w:szCs w:val="28"/>
          <w:rtl/>
        </w:rPr>
        <w:t xml:space="preserve">وقد سمع النبيُّ ﷺ نعلَ بلالٍ الحبشيِّ في الجنّة، وأمّا عمُّ محمدٍ ﷺ فتبّت يداه!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٥) التعصُّبُ للرأي والهوى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يتبنّى الواحدُ رأيًا فلا يقبل التنازلَ عنه، </w:t>
      </w:r>
      <w:r>
        <w:rPr>
          <w:rFonts w:ascii="Traditional Arabic" w:cs="Traditional Arabic" w:eastAsia="Traditional Arabic" w:hAnsi="Traditional Arabic"/>
          <w:b/>
          <w:bCs/>
          <w:i w:val="false"/>
          <w:iCs w:val="false"/>
          <w:sz w:val="28"/>
          <w:szCs w:val="28"/>
          <w:rtl/>
        </w:rPr>
        <w:t xml:space="preserve">ولعلّه من فروع فروع المسائل!</w:t>
      </w:r>
      <w:r>
        <w:rPr>
          <w:rFonts w:ascii="Traditional Arabic" w:cs="Traditional Arabic" w:eastAsia="Traditional Arabic" w:hAnsi="Traditional Arabic"/>
          <w:b w:val="false"/>
          <w:bCs w:val="false"/>
          <w:i w:val="false"/>
          <w:iCs w:val="false"/>
          <w:sz w:val="28"/>
          <w:szCs w:val="28"/>
          <w:rtl/>
        </w:rPr>
        <w:t xml:space="preserve"> فيُقيم عليه ولاءً وبراءً، بل تبديعًا وتفسيقًا. وأين نحن من مقالة يونس الصَّدَفيّ: </w:t>
      </w:r>
      <w:r>
        <w:rPr>
          <w:rFonts w:ascii="Traditional Arabic" w:cs="Traditional Arabic" w:eastAsia="Traditional Arabic" w:hAnsi="Traditional Arabic"/>
          <w:b/>
          <w:bCs/>
          <w:i w:val="false"/>
          <w:iCs w:val="false"/>
          <w:sz w:val="28"/>
          <w:szCs w:val="28"/>
          <w:rtl/>
        </w:rPr>
        <w:t xml:space="preserve">ما رأيتُ أعقلَ من الشافعيّ؛ ناظرتُه يومًا في مسألةٍ ثم افترقنا، فلقيني فأخذ بيدي وقال: يا أبا موسى، ألا يستقيمُ أن نكون إخوانًا وإن لم نتّفقْ في مسألة؟</w:t>
      </w:r>
      <w:r>
        <w:rPr>
          <w:rStyle w:val="FootnoteReference"/>
        </w:rPr>
        <w:footnoteReference w:id="8"/>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شيخُ الإسلام ابنُ تيمية لمّا بُشِّر بموت ألدِّ خصومه — الذي كتب فتوى بتكفيره وحلِّ دمه — استرجع وقال: </w:t>
      </w:r>
      <w:r>
        <w:rPr>
          <w:rFonts w:ascii="Traditional Arabic" w:cs="Traditional Arabic" w:eastAsia="Traditional Arabic" w:hAnsi="Traditional Arabic"/>
          <w:b/>
          <w:bCs/>
          <w:i w:val="false"/>
          <w:iCs w:val="false"/>
          <w:sz w:val="28"/>
          <w:szCs w:val="28"/>
          <w:rtl/>
        </w:rPr>
        <w:t xml:space="preserve">تُبشِّرُني بموت رجلٍ من المسلمين؟</w:t>
      </w:r>
      <w:r>
        <w:rPr>
          <w:rFonts w:ascii="Traditional Arabic" w:cs="Traditional Arabic" w:eastAsia="Traditional Arabic" w:hAnsi="Traditional Arabic"/>
          <w:b w:val="false"/>
          <w:bCs w:val="false"/>
          <w:i w:val="false"/>
          <w:iCs w:val="false"/>
          <w:sz w:val="28"/>
          <w:szCs w:val="28"/>
          <w:rtl/>
        </w:rPr>
        <w:t xml:space="preserve"> ثم أقبل إلى أهله فعزّاهم.</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آثارُ التفرّق</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اختلافُ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تخيّلوا: النبيُّ ﷺ يُسوّي الصحابةَ في صفوف الصلاة فيقول: </w:t>
      </w:r>
      <w:r>
        <w:rPr>
          <w:rFonts w:ascii="Traditional Arabic" w:cs="Traditional Arabic" w:eastAsia="Traditional Arabic" w:hAnsi="Traditional Arabic"/>
          <w:b/>
          <w:bCs/>
          <w:i w:val="false"/>
          <w:iCs w:val="false"/>
          <w:sz w:val="28"/>
          <w:szCs w:val="28"/>
          <w:rtl/>
        </w:rPr>
        <w:t xml:space="preserve">«ولا تختلفوا فتختلفَ قلوبُكم»</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فإذا كان اختلافُنا في وقوفنا في محراب الصلاة يورث اختلافًا في القلوب، فكيف بما هو أعظم؟</w:t>
      </w:r>
      <w:r>
        <w:rPr>
          <w:rFonts w:ascii="Traditional Arabic" w:cs="Traditional Arabic" w:eastAsia="Traditional Arabic" w:hAnsi="Traditional Arabic"/>
          <w:b w:val="false"/>
          <w:bCs w:val="false"/>
          <w:i w:val="false"/>
          <w:iCs w:val="false"/>
          <w:sz w:val="28"/>
          <w:szCs w:val="28"/>
          <w:rtl/>
        </w:rPr>
        <w:t xml:space="preserve"> فثِقْ أنّك حين تختلف وتتشرذم </w:t>
      </w:r>
      <w:r>
        <w:rPr>
          <w:rFonts w:ascii="Traditional Arabic" w:cs="Traditional Arabic" w:eastAsia="Traditional Arabic" w:hAnsi="Traditional Arabic"/>
          <w:b/>
          <w:bCs/>
          <w:i w:val="false"/>
          <w:iCs w:val="false"/>
          <w:sz w:val="28"/>
          <w:szCs w:val="28"/>
          <w:rtl/>
        </w:rPr>
        <w:t xml:space="preserve">سيمتلئ قلبُك غِلًّا وحقدًا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فشلُ الأمّة وهوانُها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بنصِّ كلام الله: </w:t>
      </w:r>
      <w:r>
        <w:rPr>
          <w:rFonts w:ascii="Traditional Arabic" w:cs="Traditional Arabic" w:eastAsia="Traditional Arabic" w:hAnsi="Traditional Arabic"/>
          <w:b/>
          <w:bCs/>
          <w:i w:val="false"/>
          <w:iCs w:val="false"/>
          <w:sz w:val="28"/>
          <w:szCs w:val="28"/>
          <w:rtl/>
        </w:rPr>
        <w:t xml:space="preserve">﴿وَلَا تَنَازَعُوا فَتَفْشَلُوا وَتَذْهَبَ رِيحُكُمْ﴾</w:t>
      </w:r>
      <w:r>
        <w:rPr>
          <w:rFonts w:ascii="Traditional Arabic" w:cs="Traditional Arabic" w:eastAsia="Traditional Arabic" w:hAnsi="Traditional Arabic"/>
          <w:b w:val="false"/>
          <w:bCs w:val="false"/>
          <w:i w:val="false"/>
          <w:iCs w:val="false"/>
          <w:sz w:val="28"/>
          <w:szCs w:val="28"/>
          <w:rtl/>
        </w:rPr>
        <w:t xml:space="preserve">. ولستُ أحتاج إلى رفع صوتٍ لأُبرهن على صدق هذه الآية: </w:t>
      </w:r>
      <w:r>
        <w:rPr>
          <w:rFonts w:ascii="Traditional Arabic" w:cs="Traditional Arabic" w:eastAsia="Traditional Arabic" w:hAnsi="Traditional Arabic"/>
          <w:b/>
          <w:bCs/>
          <w:i w:val="false"/>
          <w:iCs w:val="false"/>
          <w:sz w:val="28"/>
          <w:szCs w:val="28"/>
          <w:rtl/>
        </w:rPr>
        <w:t xml:space="preserve">تنازُعٌ نتج عنه فشل — وأيُّ فشل؟ أن ترى أمّةً تُباد على مرأًى ومسمعٍ من مِليارَي مسلمٍ دون أن نُحرِّك ساكنًا</w:t>
      </w:r>
      <w:r>
        <w:rPr>
          <w:rFonts w:ascii="Traditional Arabic" w:cs="Traditional Arabic" w:eastAsia="Traditional Arabic" w:hAnsi="Traditional Arabic"/>
          <w:b w:val="false"/>
          <w:bCs w:val="false"/>
          <w:i w:val="false"/>
          <w:iCs w:val="false"/>
          <w:sz w:val="28"/>
          <w:szCs w:val="28"/>
          <w:rtl/>
        </w:rPr>
        <w:t xml:space="preserve">. واللهِ لو قرأتُ هذا المشهد في كتب التاريخ لعلّي لا أُصدِّق؛ </w:t>
      </w:r>
      <w:r>
        <w:rPr>
          <w:rFonts w:ascii="Traditional Arabic" w:cs="Traditional Arabic" w:eastAsia="Traditional Arabic" w:hAnsi="Traditional Arabic"/>
          <w:b/>
          <w:bCs/>
          <w:i w:val="false"/>
          <w:iCs w:val="false"/>
          <w:sz w:val="28"/>
          <w:szCs w:val="28"/>
          <w:rtl/>
        </w:rPr>
        <w:t xml:space="preserve">لكن أن تراه بأمّ عينك فذلك أعظمُ الفشل</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واختلافُنا من أعظم أسباب قوّة خصمنا؛ فإنّهم يعملون صباحَ مساءٍ لتمزيق جسد الأمّة. </w:t>
      </w:r>
      <w:r>
        <w:rPr>
          <w:rFonts w:ascii="Traditional Arabic" w:cs="Traditional Arabic" w:eastAsia="Traditional Arabic" w:hAnsi="Traditional Arabic"/>
          <w:b/>
          <w:bCs/>
          <w:i w:val="false"/>
          <w:iCs w:val="false"/>
          <w:sz w:val="28"/>
          <w:szCs w:val="28"/>
          <w:rtl/>
        </w:rPr>
        <w:t xml:space="preserve">والأمّةُ إن فُصِل الرأسُ واليدُ والقدمُ فلا يبقى في بقيّة الجسد روحٌ ولا حياة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أسألُ اللهَ أن يرزقنا قلوبًا سليمة، وأن نجتمع على منهجٍ واحدٍ على كتاب الله وسنّة رسوله، وأن يستعملنا فنكون </w:t>
      </w:r>
      <w:r>
        <w:rPr>
          <w:rFonts w:ascii="Traditional Arabic" w:cs="Traditional Arabic" w:eastAsia="Traditional Arabic" w:hAnsi="Traditional Arabic"/>
          <w:b/>
          <w:bCs/>
          <w:i w:val="false"/>
          <w:iCs w:val="false"/>
          <w:sz w:val="28"/>
          <w:szCs w:val="28"/>
          <w:rtl/>
        </w:rPr>
        <w:t xml:space="preserve">عواملَ جمعٍ لا عواملَ تفريقٍ وتمزيق</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والبخاري في «الأدب المفرد» والترمذي والحاكم من حديث أبي هريرة ﵁، وحسّنه الألباني في «صحيح الجامع» (٥٣٩٢) و«صحيح الترغيب» (١٦٣٦).</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(١٤٨١) والترمذي (٣٤٧٧) والنسائي من حديث فَضالة بن عُبيد ﵁. قال الترمذي: «حسنٌ صحيح»، وصحّحه الألباني في «صحيح أبي داود» (١٣٢٠) و«صحيح الجامع» (٦٥١).</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وأبو داود (١٤٨٨) والترمذي وابن ماجه والحاكم من حديث سلمان ﵁، وصحّحه الألباني في «صحيح الجامع» (١٧٥٧) و«صحيح الترغيب» (١٦٣٥).</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(٥٢١) والترمذي (٢١٢) والنسائي وأحمد من حديث أنسٍ ﵁، وصحّحه الألباني في «صحيح أبي داود» (٥٢٤) و«صحيح الجامع» (٣٤٠٨).</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(٣٤٧٩) والحاكم من حديث أبي هريرة ﵁، وحسّنه الألباني في «صحيح الجامع» (٢٤٥) و«صحيح الترغيب» (١٦٥٣).</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(٣/١٨) والبخاري في «الأدب المفرد» والحاكم من حديث أبي سعيد الخدري ﵁، وصحّحه الألباني في «صحيح الجامع» (٥٦٧٨) و«صحيح الترغيب» (١٦٣٣).</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يُذكر في بعض كتب التفسير من الإسرائيليّات، لا يصحّ رفعُه ولا يُبنى عليه حكم، وإنما يُساق للاعتبار. والأصلُ في الباب قولُه تعالى: ﴿قُوا أَنفُسَكُمْ وَأَهْلِيكُمْ نَارًا﴾.</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البيهقي في «مناقب الشافعي»، وذكره الذهبي في «سير أعلام النبلاء». وهو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﴿وَلَا تَنَازَعُوا فَتَفْشَلُوا﴾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2026-08-01T09:54:55.871Z</dcterms:created>
  <dcterms:modified xsi:type="dcterms:W3CDTF">2026-08-01T09:54:55.871Z</dcterms:modified>
</cp:coreProperties>
</file>

<file path=docProps/custom.xml><?xml version="1.0" encoding="utf-8"?>
<Properties xmlns="http://schemas.openxmlformats.org/officeDocument/2006/custom-properties" xmlns:vt="http://schemas.openxmlformats.org/officeDocument/2006/docPropsVTypes"/>
</file>