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﴿لَا نُفَرِّقُ بَيْنَ أَحَدٍ مِّن رُّسُلِهِ﴾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أصولٌ في التعامل مع دعوات «وحدة الأديان»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خُلِقتَ لشيءٍ عظيمٍ ولشأنٍ كبير. ومن هذا الطينِ بدأت قصّةُ العداوةِ والحسدِ والإغواء؛ إبليسُ وجنودُه يُجلِبون بخيلهم ورَجِلهم على البشريّة لإغواء ذرّيّة آدم. وتتابعت القرونُ، حتى كان في زمن نوحٍ ﵇ رجالٌ صالحون: </w:t>
      </w:r>
      <w:r>
        <w:rPr>
          <w:rFonts w:ascii="Traditional Arabic" w:cs="Traditional Arabic" w:eastAsia="Traditional Arabic" w:hAnsi="Traditional Arabic"/>
          <w:b/>
          <w:bCs/>
          <w:i w:val="false"/>
          <w:iCs w:val="false"/>
          <w:sz w:val="28"/>
          <w:szCs w:val="28"/>
          <w:rtl/>
        </w:rPr>
        <w:t xml:space="preserve">وَدٌّ وسُواعٌ ويَغوثُ ويَعوقُ ونَسْرٌ</w:t>
      </w:r>
      <w:r>
        <w:rPr>
          <w:rFonts w:ascii="Traditional Arabic" w:cs="Traditional Arabic" w:eastAsia="Traditional Arabic" w:hAnsi="Traditional Arabic"/>
          <w:b w:val="false"/>
          <w:bCs w:val="false"/>
          <w:i w:val="false"/>
          <w:iCs w:val="false"/>
          <w:sz w:val="28"/>
          <w:szCs w:val="28"/>
          <w:rtl/>
        </w:rPr>
        <w:t xml:space="preserve">، فلمّا ماتوا أوحى الشيطانُ إلى مَن كان يُحبّهم أن يَنصِبوا على مجالسهم أنصابًا وأن يُسمُّوها بأسمائهم — تذكيرًا بهم كما زعموا — </w:t>
      </w:r>
      <w:r>
        <w:rPr>
          <w:rFonts w:ascii="Traditional Arabic" w:cs="Traditional Arabic" w:eastAsia="Traditional Arabic" w:hAnsi="Traditional Arabic"/>
          <w:b/>
          <w:bCs/>
          <w:i w:val="false"/>
          <w:iCs w:val="false"/>
          <w:sz w:val="28"/>
          <w:szCs w:val="28"/>
          <w:rtl/>
        </w:rPr>
        <w:t xml:space="preserve">ففعلوا ولم تُعبَد، حتى إذا هلك أولئك ونُسِخ العلمُ عُبِدت</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 فمن هاهنا بدأت قصّةُ الشرك، ومن هاهنا بدأت قصّةُ الرسل.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فالرسلُ يتتابعون يُعيدون الناسَ إلى طريق التوحيد، بدءًا من نوحٍ وانتهاءً بمحمدٍ ﷺ. ونحن نُردّد مع القرآن: ﴿لَا نُفَرِّقُ بَيْنَ أَحَدٍ مِّن رُّسُلِهِ﴾ — </w:t>
      </w:r>
      <w:r>
        <w:rPr>
          <w:rFonts w:ascii="Traditional Arabic" w:cs="Traditional Arabic" w:eastAsia="Traditional Arabic" w:hAnsi="Traditional Arabic"/>
          <w:b/>
          <w:bCs/>
          <w:i w:val="false"/>
          <w:iCs w:val="false"/>
          <w:sz w:val="28"/>
          <w:szCs w:val="28"/>
          <w:rtl/>
        </w:rPr>
        <w:t xml:space="preserve">في زمانٍ تعلو فيه أصواتٌ تهمِسُ بدعواتٍ لوئامٍ وتقاربٍ بل ولوحدةِ أديان</w:t>
      </w:r>
      <w:r>
        <w:rPr>
          <w:rFonts w:ascii="Traditional Arabic" w:cs="Traditional Arabic" w:eastAsia="Traditional Arabic" w:hAnsi="Traditional Arabic"/>
          <w:b w:val="false"/>
          <w:bCs w:val="false"/>
          <w:i w:val="false"/>
          <w:iCs w:val="false"/>
          <w:sz w:val="28"/>
          <w:szCs w:val="28"/>
          <w:rtl/>
        </w:rPr>
        <w:t xml:space="preserve">. فيليقُ بي وبك أن نضع أصولًا ننطلقُ منها في فهم هذه الآية.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الأصلُ الأول: دعوةُ الأنبياءِ كلِّهم واحدة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كُنْ على يقينٍ لا يقبل شكًّا أنّ </w:t>
      </w:r>
      <w:r>
        <w:rPr>
          <w:rFonts w:ascii="Traditional Arabic" w:cs="Traditional Arabic" w:eastAsia="Traditional Arabic" w:hAnsi="Traditional Arabic"/>
          <w:b/>
          <w:bCs/>
          <w:i w:val="false"/>
          <w:iCs w:val="false"/>
          <w:sz w:val="28"/>
          <w:szCs w:val="28"/>
          <w:rtl/>
        </w:rPr>
        <w:t xml:space="preserve">دعوةَ الأنبياء جميعًا إلى توحيد الله</w:t>
      </w:r>
      <w:r>
        <w:rPr>
          <w:rFonts w:ascii="Traditional Arabic" w:cs="Traditional Arabic" w:eastAsia="Traditional Arabic" w:hAnsi="Traditional Arabic"/>
          <w:b w:val="false"/>
          <w:bCs w:val="false"/>
          <w:i w:val="false"/>
          <w:iCs w:val="false"/>
          <w:sz w:val="28"/>
          <w:szCs w:val="28"/>
          <w:rtl/>
        </w:rPr>
        <w:t xml:space="preserve">؛ ما أرسل اللهُ نبيًّا يدعو قومَه ليعبدوا حجرًا، ولا بعث رسولًا يدعو قومَه لعبادته. وقد سطَّر القرآنُ ذلك: </w:t>
      </w:r>
      <w:r>
        <w:rPr>
          <w:rFonts w:ascii="Traditional Arabic" w:cs="Traditional Arabic" w:eastAsia="Traditional Arabic" w:hAnsi="Traditional Arabic"/>
          <w:b/>
          <w:bCs/>
          <w:i w:val="false"/>
          <w:iCs w:val="false"/>
          <w:sz w:val="28"/>
          <w:szCs w:val="28"/>
          <w:rtl/>
        </w:rPr>
        <w:t xml:space="preserve">﴿وَلَقَدْ أُوحِيَ إِلَيْكَ وَإِلَى الَّذِينَ مِن قَبْلِكَ لَئِنْ أَشْرَكْتَ لَيَحْبَطَنَّ عَمَلُكَ﴾</w:t>
      </w:r>
      <w:r>
        <w:rPr>
          <w:rFonts w:ascii="Traditional Arabic" w:cs="Traditional Arabic" w:eastAsia="Traditional Arabic" w:hAnsi="Traditional Arabic"/>
          <w:b w:val="false"/>
          <w:bCs w:val="false"/>
          <w:i w:val="false"/>
          <w:iCs w:val="false"/>
          <w:sz w:val="28"/>
          <w:szCs w:val="28"/>
          <w:rtl/>
        </w:rPr>
        <w:t xml:space="preserve">، ولسانُ حالهم جميعًا: ﴿أَنِ اعْبُدُوا اللَّهَ وَاجْتَنِبُوا الطَّاغُوتَ﴾.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ولمّا انحرف قومٌ يزعمون اتّباعَ نبيٍّ من الأنبياء، خاطبه ربُّه: </w:t>
      </w:r>
      <w:r>
        <w:rPr>
          <w:rFonts w:ascii="Traditional Arabic" w:cs="Traditional Arabic" w:eastAsia="Traditional Arabic" w:hAnsi="Traditional Arabic"/>
          <w:b/>
          <w:bCs/>
          <w:i w:val="false"/>
          <w:iCs w:val="false"/>
          <w:sz w:val="28"/>
          <w:szCs w:val="28"/>
          <w:rtl/>
        </w:rPr>
        <w:t xml:space="preserve">﴿وَإِذْ قَالَ اللَّهُ يَا عِيسَى ابْنَ مَرْيَمَ أَأَنتَ قُلْتَ لِلنَّاسِ اتَّخِذُونِي وَأُمِّيَ إِلَٰهَيْنِ مِن دُونِ اللَّهِ ۖ قَالَ سُبْحَانَكَ مَا يَكُونُ لِي أَنْ أَقُولَ مَا لَيْسَ لِي بِحَقٍّ﴾</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«الأنبياءُ إخوةٌ لعَلّات، أمّهاتُهم شتّى ودينُهم واحد»</w:t>
      </w:r>
      <w:r>
        <w:rPr>
          <w:rFonts w:ascii="Traditional Arabic" w:cs="Traditional Arabic" w:eastAsia="Traditional Arabic" w:hAnsi="Traditional Arabic"/>
          <w:b w:val="false"/>
          <w:bCs w:val="false"/>
          <w:i w:val="false"/>
          <w:iCs w:val="false"/>
          <w:sz w:val="28"/>
          <w:szCs w:val="28"/>
          <w:rtl/>
        </w:rPr>
        <w:t xml:space="preserve">. متفقٌ عليه. وأولادُ العَلّات عند العرب: أولادُ الضرائر؛ </w:t>
      </w:r>
      <w:r>
        <w:rPr>
          <w:rFonts w:ascii="Traditional Arabic" w:cs="Traditional Arabic" w:eastAsia="Traditional Arabic" w:hAnsi="Traditional Arabic"/>
          <w:b/>
          <w:bCs/>
          <w:i w:val="false"/>
          <w:iCs w:val="false"/>
          <w:sz w:val="28"/>
          <w:szCs w:val="28"/>
          <w:rtl/>
        </w:rPr>
        <w:t xml:space="preserve">أمّهاتُهم مختلفة والأبُ واحد — أي: شرائعُهم مختلفة وأصلُ الدين واحد</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الأصلُ الثاني: لا يقبلُ اللهُ دينًا إلا الإسلام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فالشرائعُ السابقةُ نسخها الإسلامُ وهيمن عليها القرآن. قال تعالى: </w:t>
      </w:r>
      <w:r>
        <w:rPr>
          <w:rFonts w:ascii="Traditional Arabic" w:cs="Traditional Arabic" w:eastAsia="Traditional Arabic" w:hAnsi="Traditional Arabic"/>
          <w:b/>
          <w:bCs/>
          <w:i w:val="false"/>
          <w:iCs w:val="false"/>
          <w:sz w:val="28"/>
          <w:szCs w:val="28"/>
          <w:rtl/>
        </w:rPr>
        <w:t xml:space="preserve">﴿وَمَن يَبْتَغِ غَيْرَ الْإِسْلَامِ دِينًا فَلَن يُقْبَلَ مِنْهُ وَهُوَ فِي الْآخِرَةِ مِنَ الْخَاسِرِينَ﴾</w:t>
      </w:r>
      <w:r>
        <w:rPr>
          <w:rFonts w:ascii="Traditional Arabic" w:cs="Traditional Arabic" w:eastAsia="Traditional Arabic" w:hAnsi="Traditional Arabic"/>
          <w:b w:val="false"/>
          <w:bCs w:val="false"/>
          <w:i w:val="false"/>
          <w:iCs w:val="false"/>
          <w:sz w:val="28"/>
          <w:szCs w:val="28"/>
          <w:rtl/>
        </w:rPr>
        <w:t xml:space="preserve"> — و«دينًا» نكرةٌ في سياق الشرط فتفيدُ العموم. وقال: ﴿إِنَّ الدِّينَ عِندَ اللَّهِ الْإِسْلَامُ﴾.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ويقول ﷺ: </w:t>
      </w:r>
      <w:r>
        <w:rPr>
          <w:rFonts w:ascii="Traditional Arabic" w:cs="Traditional Arabic" w:eastAsia="Traditional Arabic" w:hAnsi="Traditional Arabic"/>
          <w:b/>
          <w:bCs/>
          <w:i w:val="false"/>
          <w:iCs w:val="false"/>
          <w:sz w:val="28"/>
          <w:szCs w:val="28"/>
          <w:rtl/>
        </w:rPr>
        <w:t xml:space="preserve">«والذي نفسُ محمدٍ بيده، لا يسمعُ بي أحدٌ من هذه الأمّة — يهوديٌّ ولا نصرانيٌّ — ثم يموتُ ولم يؤمنْ بالذي أُرسلتُ به، إلا كان من أصحاب النار»</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وهذا الحديثُ في أعلى درجات الصحّة</w:t>
      </w:r>
      <w:r>
        <w:rPr>
          <w:rFonts w:ascii="Traditional Arabic" w:cs="Traditional Arabic" w:eastAsia="Traditional Arabic" w:hAnsi="Traditional Arabic"/>
          <w:b w:val="false"/>
          <w:bCs w:val="false"/>
          <w:i w:val="false"/>
          <w:iCs w:val="false"/>
          <w:sz w:val="28"/>
          <w:szCs w:val="28"/>
          <w:rtl/>
        </w:rPr>
        <w:t xml:space="preserve">، نقولُه لأنّنا في زمانٍ يُشكَّك فيه بعقيدتنا وبمصير من كفر بالله.</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الأصلُ الثالث: نحن المعظِّمون للأنبياء حقًّا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معاشرَ أمّة محمدٍ ﷺ: </w:t>
      </w:r>
      <w:r>
        <w:rPr>
          <w:rFonts w:ascii="Traditional Arabic" w:cs="Traditional Arabic" w:eastAsia="Traditional Arabic" w:hAnsi="Traditional Arabic"/>
          <w:b/>
          <w:bCs/>
          <w:i w:val="false"/>
          <w:iCs w:val="false"/>
          <w:sz w:val="28"/>
          <w:szCs w:val="28"/>
          <w:rtl/>
        </w:rPr>
        <w:t xml:space="preserve">أنتم المعظِّمون لعيسى حقًّا، والمحبّون لموسى صدقًا، والمتّبعون لإبراهيم يقينًا</w:t>
      </w:r>
      <w:r>
        <w:rPr>
          <w:rFonts w:ascii="Traditional Arabic" w:cs="Traditional Arabic" w:eastAsia="Traditional Arabic" w:hAnsi="Traditional Arabic"/>
          <w:b w:val="false"/>
          <w:bCs w:val="false"/>
          <w:i w:val="false"/>
          <w:iCs w:val="false"/>
          <w:sz w:val="28"/>
          <w:szCs w:val="28"/>
          <w:rtl/>
        </w:rPr>
        <w:t xml:space="preserve">. ألا يكفيك أن تعلم أنّ </w:t>
      </w:r>
      <w:r>
        <w:rPr>
          <w:rFonts w:ascii="Traditional Arabic" w:cs="Traditional Arabic" w:eastAsia="Traditional Arabic" w:hAnsi="Traditional Arabic"/>
          <w:b/>
          <w:bCs/>
          <w:i w:val="false"/>
          <w:iCs w:val="false"/>
          <w:sz w:val="28"/>
          <w:szCs w:val="28"/>
          <w:rtl/>
        </w:rPr>
        <w:t xml:space="preserve">إيمانَك لا يصحُّ حتى تؤمنَ بالأنبياء كلِّهم</w:t>
      </w:r>
      <w:r>
        <w:rPr>
          <w:rFonts w:ascii="Traditional Arabic" w:cs="Traditional Arabic" w:eastAsia="Traditional Arabic" w:hAnsi="Traditional Arabic"/>
          <w:b w:val="false"/>
          <w:bCs w:val="false"/>
          <w:i w:val="false"/>
          <w:iCs w:val="false"/>
          <w:sz w:val="28"/>
          <w:szCs w:val="28"/>
          <w:rtl/>
        </w:rPr>
        <w:t xml:space="preserve">؟ قال تعالى مادحًا: ﴿آمَنَ الرَّسُولُ بِمَا أُنزِلَ إِلَيْهِ مِن رَّبِّهِ وَالْمُؤْمِنُونَ ۚ كُلٌّ آمَنَ بِاللَّهِ وَمَلَائِكَتِهِ وَكُتُبِهِ وَرُسُلِهِ﴾. ولمّا سأل جبريلُ النبيَّ ﷺ عن الإيمان قال: «أن تؤمنَ بالله وملائكته وكتبه ورسله واليوم الآخر، وتؤمنَ بالقدر خيره وشرّه».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ثم تأمّلْ — يا مَن تسمعُ همسًا هنا وكلمةً هناك عن وئامٍ وتقارب —: </w:t>
      </w:r>
      <w:r>
        <w:rPr>
          <w:rFonts w:ascii="Traditional Arabic" w:cs="Traditional Arabic" w:eastAsia="Traditional Arabic" w:hAnsi="Traditional Arabic"/>
          <w:b/>
          <w:bCs/>
          <w:i w:val="false"/>
          <w:iCs w:val="false"/>
          <w:sz w:val="28"/>
          <w:szCs w:val="28"/>
          <w:rtl/>
        </w:rPr>
        <w:t xml:space="preserve">وئامٌ والمصحفُ يُحرَق! وئامٌ والأقصى يُنتهَك!</w:t>
      </w:r>
      <w:r>
        <w:rPr>
          <w:rFonts w:ascii="Traditional Arabic" w:cs="Traditional Arabic" w:eastAsia="Traditional Arabic" w:hAnsi="Traditional Arabic"/>
          <w:b w:val="false"/>
          <w:bCs w:val="false"/>
          <w:i w:val="false"/>
          <w:iCs w:val="false"/>
          <w:sz w:val="28"/>
          <w:szCs w:val="28"/>
          <w:rtl/>
        </w:rPr>
        <w:t xml:space="preserve"> واسمع ماذا يقولون عن الأنبياء الذين نُعظِّمهم ونُنزِّههم؛ ففي كتبهم المحرَّفة نسبةُ الفاحشةِ والسرقةِ والسُّكْرِ إلى أنبياء الله. </w:t>
      </w:r>
      <w:r>
        <w:rPr>
          <w:rFonts w:ascii="Traditional Arabic" w:cs="Traditional Arabic" w:eastAsia="Traditional Arabic" w:hAnsi="Traditional Arabic"/>
          <w:b/>
          <w:bCs/>
          <w:i w:val="false"/>
          <w:iCs w:val="false"/>
          <w:sz w:val="28"/>
          <w:szCs w:val="28"/>
          <w:rtl/>
        </w:rPr>
        <w:t xml:space="preserve">ونحن الذين نُعظِّمهم وننزِّههم، ولا يصحُّ إيمانُنا إلا بالإيمان برسالتهم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فلا تتنازل عن عقيدتك ولا عن دينك، ولا تحتاجُ إلى مَن يُعلِّمك الوئامَ وتعظيمَ الأنبياء؛ </w:t>
      </w:r>
      <w:r>
        <w:rPr>
          <w:rFonts w:ascii="Traditional Arabic" w:cs="Traditional Arabic" w:eastAsia="Traditional Arabic" w:hAnsi="Traditional Arabic"/>
          <w:b/>
          <w:bCs/>
          <w:i w:val="false"/>
          <w:iCs w:val="false"/>
          <w:sz w:val="28"/>
          <w:szCs w:val="28"/>
          <w:rtl/>
        </w:rPr>
        <w:t xml:space="preserve">فإنّك لهم معظِّم، وإن لم تكن معظِّمًا فلستَ مؤمنًا</w:t>
      </w:r>
      <w:r>
        <w:rPr>
          <w:rFonts w:ascii="Traditional Arabic" w:cs="Traditional Arabic" w:eastAsia="Traditional Arabic" w:hAnsi="Traditional Arabic"/>
          <w:b w:val="false"/>
          <w:bCs w:val="false"/>
          <w:i w:val="false"/>
          <w:iCs w:val="false"/>
          <w:sz w:val="28"/>
          <w:szCs w:val="28"/>
          <w:rtl/>
        </w:rPr>
        <w:t xml:space="preserve">. واحفِرْ هذا على جدارِ قلبك، وربِّ عليه ولدَك.</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ثبّتنا على التوحيد حتى نلقاك، واجعلنا ممّن يُعظِّم أنبياءَك ورسلَك حقَّ التعظيم.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أصلُ ذلك ما رواه البخاري في «صحيحه» في تفسير سورة نوح عن ابن عباس ﵄ في قوله تعالى ﴿وَدًّا وَلَا سُوَاعًا﴾: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ونُسِخ العلمُ عُبِدت».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﴿لَا نُفَرِّقُ بَيْنَ أَحَدٍ مِّن رُّسُلِهِ﴾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2026-08-01T09:28:58.693Z</dcterms:created>
  <dcterms:modified xsi:type="dcterms:W3CDTF">2026-08-01T09:28:58.719Z</dcterms:modified>
</cp:coreProperties>
</file>

<file path=docProps/custom.xml><?xml version="1.0" encoding="utf-8"?>
<Properties xmlns="http://schemas.openxmlformats.org/officeDocument/2006/custom-properties" xmlns:vt="http://schemas.openxmlformats.org/officeDocument/2006/docPropsVTypes"/>
</file>