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الحوارُ شِرعةٌ إسلاميّة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مواضعُ الحوار وآدابُه — وما لا يقبل التنازل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معاشرَ المصلّين: </w:t>
      </w:r>
      <w:r>
        <w:rPr>
          <w:rFonts w:ascii="Traditional Arabic" w:cs="Traditional Arabic" w:eastAsia="Traditional Arabic" w:hAnsi="Traditional Arabic"/>
          <w:b/>
          <w:bCs/>
          <w:i w:val="false"/>
          <w:iCs w:val="false"/>
          <w:sz w:val="28"/>
          <w:szCs w:val="28"/>
          <w:rtl/>
        </w:rPr>
        <w:t xml:space="preserve">الولدُ عاقّ، والمرأةُ ناشز، والعدوُّ يتحكّم، والثوابتُ تتخلخل!</w:t>
      </w:r>
      <w:r>
        <w:rPr>
          <w:rFonts w:ascii="Traditional Arabic" w:cs="Traditional Arabic" w:eastAsia="Traditional Arabic" w:hAnsi="Traditional Arabic"/>
          <w:b w:val="false"/>
          <w:bCs w:val="false"/>
          <w:i w:val="false"/>
          <w:iCs w:val="false"/>
          <w:sz w:val="28"/>
          <w:szCs w:val="28"/>
          <w:rtl/>
        </w:rPr>
        <w:t xml:space="preserve"> نعم أيّها الحبيب — </w:t>
      </w:r>
      <w:r>
        <w:rPr>
          <w:rFonts w:ascii="Traditional Arabic" w:cs="Traditional Arabic" w:eastAsia="Traditional Arabic" w:hAnsi="Traditional Arabic"/>
          <w:b/>
          <w:bCs/>
          <w:i w:val="false"/>
          <w:iCs w:val="false"/>
          <w:sz w:val="28"/>
          <w:szCs w:val="28"/>
          <w:rtl/>
        </w:rPr>
        <w:t xml:space="preserve">لأنّك ما أحسنتَ إدارةَ الموقف فتأزّم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ولو أنّك استخدمتَ الحوارَ وتحلّيتَ بآدابه لكان وسيلةَ برٍّ ودعوةٍ واستقرارٍ وسكينةٍ للبيوت</w:t>
      </w:r>
      <w:r>
        <w:rPr>
          <w:rFonts w:ascii="Traditional Arabic" w:cs="Traditional Arabic" w:eastAsia="Traditional Arabic" w:hAnsi="Traditional Arabic"/>
          <w:b w:val="false"/>
          <w:bCs w:val="false"/>
          <w:i w:val="false"/>
          <w:iCs w:val="false"/>
          <w:sz w:val="28"/>
          <w:szCs w:val="28"/>
          <w:rtl/>
        </w:rPr>
        <w:t xml:space="preserve">؛ فهو </w:t>
      </w:r>
      <w:r>
        <w:rPr>
          <w:rFonts w:ascii="Traditional Arabic" w:cs="Traditional Arabic" w:eastAsia="Traditional Arabic" w:hAnsi="Traditional Arabic"/>
          <w:b/>
          <w:bCs/>
          <w:i w:val="false"/>
          <w:iCs w:val="false"/>
          <w:sz w:val="28"/>
          <w:szCs w:val="28"/>
          <w:rtl/>
        </w:rPr>
        <w:t xml:space="preserve">شِرعةٌ ربّانيّةٌ وضرورةٌ إنسانيّة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الأول: محاورةُ الوالدين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أعظمَ حوارٍ يدور على هذه الأرض </w:t>
      </w:r>
      <w:r>
        <w:rPr>
          <w:rFonts w:ascii="Traditional Arabic" w:cs="Traditional Arabic" w:eastAsia="Traditional Arabic" w:hAnsi="Traditional Arabic"/>
          <w:b/>
          <w:bCs/>
          <w:i w:val="false"/>
          <w:iCs w:val="false"/>
          <w:sz w:val="28"/>
          <w:szCs w:val="28"/>
          <w:rtl/>
        </w:rPr>
        <w:t xml:space="preserve">حوارُك مع والديك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حوارٌ يسمعه الربُّ العظيمُ وهو مستوٍ على عرشه</w:t>
      </w:r>
      <w:r>
        <w:rPr>
          <w:rFonts w:ascii="Traditional Arabic" w:cs="Traditional Arabic" w:eastAsia="Traditional Arabic" w:hAnsi="Traditional Arabic"/>
          <w:b w:val="false"/>
          <w:bCs w:val="false"/>
          <w:i w:val="false"/>
          <w:iCs w:val="false"/>
          <w:sz w:val="28"/>
          <w:szCs w:val="28"/>
          <w:rtl/>
        </w:rPr>
        <w:t xml:space="preserve">. فما لي أراك حين الحوار تتأفّف، واللهُ يقول: </w:t>
      </w:r>
      <w:r>
        <w:rPr>
          <w:rFonts w:ascii="Traditional Arabic" w:cs="Traditional Arabic" w:eastAsia="Traditional Arabic" w:hAnsi="Traditional Arabic"/>
          <w:b/>
          <w:bCs/>
          <w:i w:val="false"/>
          <w:iCs w:val="false"/>
          <w:sz w:val="28"/>
          <w:szCs w:val="28"/>
          <w:rtl/>
        </w:rPr>
        <w:t xml:space="preserve">﴿فَلَا تَقُل لَّهُمَا أُفٍّ وَلَا تَنْهَرْهُمَا وَقُل لَّهُمَا قَوْلًا كَرِيمًا﴾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ثلاثُ منازلَ في خطابك مع أبيك وأمّك لا تتجاوزها يا عاقل: </w:t>
      </w:r>
      <w:r>
        <w:rPr>
          <w:rFonts w:ascii="Traditional Arabic" w:cs="Traditional Arabic" w:eastAsia="Traditional Arabic" w:hAnsi="Traditional Arabic"/>
          <w:b/>
          <w:bCs/>
          <w:i w:val="false"/>
          <w:iCs w:val="false"/>
          <w:sz w:val="28"/>
          <w:szCs w:val="28"/>
          <w:rtl/>
        </w:rPr>
        <w:t xml:space="preserve">فلا تقُلْ «أفٍّ» — وهي أصغرُ كلمةِ تضجُّر؛ قال ابنُ عباسٍ ﵄: لو علم اللهُ كلمةً في العقوق أقلَّ منها لقالها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تنهَرْهما بحِدّةٍ ولا تُخاصِمْهما — ولو كانا على خطأ، بل ولو كانا مشركَين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وقُلْ لهما قولًا كريمًا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واسمعْ ما قاله سعيدُ بنُ المسيّبِ ﵀ في تفسير ﴿وَقُل لَّهُمَا قَوْلًا كَرِيمًا﴾: </w:t>
      </w:r>
      <w:r>
        <w:rPr>
          <w:rFonts w:ascii="Traditional Arabic" w:cs="Traditional Arabic" w:eastAsia="Traditional Arabic" w:hAnsi="Traditional Arabic"/>
          <w:b/>
          <w:bCs/>
          <w:i w:val="false"/>
          <w:iCs w:val="false"/>
          <w:sz w:val="28"/>
          <w:szCs w:val="28"/>
          <w:rtl/>
        </w:rPr>
        <w:t xml:space="preserve">كلامُ العبد الذليل للسيّد الفظِّ الغليظ</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ليس أيَّ سيّد؛ بل سيّدٌ فظٌّ غليظ، إن تجاوزتَ الأدبَ معه أودى بحياتك!</w:t>
      </w:r>
      <w:r>
        <w:rPr>
          <w:rFonts w:ascii="Traditional Arabic" w:cs="Traditional Arabic" w:eastAsia="Traditional Arabic" w:hAnsi="Traditional Arabic"/>
          <w:b w:val="false"/>
          <w:bCs w:val="false"/>
          <w:i w:val="false"/>
          <w:iCs w:val="false"/>
          <w:sz w:val="28"/>
          <w:szCs w:val="28"/>
          <w:rtl/>
        </w:rPr>
        <w:t xml:space="preserve"> فهكذا ينبغي أن تُحاورَ والديك.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ابنُ عَونٍ — من سادات التابعين — </w:t>
      </w:r>
      <w:r>
        <w:rPr>
          <w:rFonts w:ascii="Traditional Arabic" w:cs="Traditional Arabic" w:eastAsia="Traditional Arabic" w:hAnsi="Traditional Arabic"/>
          <w:b/>
          <w:bCs/>
          <w:i w:val="false"/>
          <w:iCs w:val="false"/>
          <w:sz w:val="28"/>
          <w:szCs w:val="28"/>
          <w:rtl/>
        </w:rPr>
        <w:t xml:space="preserve">نادته أمُّه فأجابها بصوتٍ أعلى من صوتها، فاستغفر ربَّه وأعتق رقبتين!</w:t>
      </w:r>
      <w:r>
        <w:rPr>
          <w:rFonts w:ascii="Traditional Arabic" w:cs="Traditional Arabic" w:eastAsia="Traditional Arabic" w:hAnsi="Traditional Arabic"/>
          <w:b w:val="false"/>
          <w:bCs w:val="false"/>
          <w:i w:val="false"/>
          <w:iCs w:val="false"/>
          <w:sz w:val="28"/>
          <w:szCs w:val="28"/>
          <w:rtl/>
        </w:rPr>
        <w:t xml:space="preserve"> وأمّا محمدُ بنُ سيرينَ ﵀ فيذكر ابنُ الجوزيِّ عنه عجبًا: </w:t>
      </w:r>
      <w:r>
        <w:rPr>
          <w:rFonts w:ascii="Traditional Arabic" w:cs="Traditional Arabic" w:eastAsia="Traditional Arabic" w:hAnsi="Traditional Arabic"/>
          <w:b/>
          <w:bCs/>
          <w:i w:val="false"/>
          <w:iCs w:val="false"/>
          <w:sz w:val="28"/>
          <w:szCs w:val="28"/>
          <w:rtl/>
        </w:rPr>
        <w:t xml:space="preserve">كان إذا كلّم أمَّه خفَض صوتَه كالمُصغي لحديثها، حتى لو رآه مَن لا يعرفه لظنّه مريضًا!</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فأين نحن من هؤلاء؟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الثاني: الحوارُ بين الزوجين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إنّنا نعيش زمانًا عجيبًا: </w:t>
      </w:r>
      <w:r>
        <w:rPr>
          <w:rFonts w:ascii="Traditional Arabic" w:cs="Traditional Arabic" w:eastAsia="Traditional Arabic" w:hAnsi="Traditional Arabic"/>
          <w:b/>
          <w:bCs/>
          <w:i w:val="false"/>
          <w:iCs w:val="false"/>
          <w:sz w:val="28"/>
          <w:szCs w:val="28"/>
          <w:rtl/>
        </w:rPr>
        <w:t xml:space="preserve">واللهِ غصّت المحاكمُ بقضايا الطلاق، فأقضّت المضاجعَ وهدمت البيوتَ وشتّتت الأُسَر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وحدّثني ثقة: في محكمةٍ واحدةٍ وفي يومٍ واحد: سبعُ قضايا طلاقٍ وعقدُ زواجٍ واحد!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وأكثرُ الفتاوى التي ترِدُ إلينا: </w:t>
      </w:r>
      <w:r>
        <w:rPr>
          <w:rFonts w:ascii="Traditional Arabic" w:cs="Traditional Arabic" w:eastAsia="Traditional Arabic" w:hAnsi="Traditional Arabic"/>
          <w:b/>
          <w:bCs/>
          <w:i w:val="false"/>
          <w:iCs w:val="false"/>
          <w:sz w:val="28"/>
          <w:szCs w:val="28"/>
          <w:rtl/>
        </w:rPr>
        <w:t xml:space="preserve">طلّقتُ! حرّمتُ! حلفتُ!</w:t>
      </w:r>
      <w:r>
        <w:rPr>
          <w:rFonts w:ascii="Traditional Arabic" w:cs="Traditional Arabic" w:eastAsia="Traditional Arabic" w:hAnsi="Traditional Arabic"/>
          <w:b w:val="false"/>
          <w:bCs w:val="false"/>
          <w:i w:val="false"/>
          <w:iCs w:val="false"/>
          <w:sz w:val="28"/>
          <w:szCs w:val="28"/>
          <w:rtl/>
        </w:rPr>
        <w:t xml:space="preserve"> ولماذا؟ </w:t>
      </w:r>
      <w:r>
        <w:rPr>
          <w:rFonts w:ascii="Traditional Arabic" w:cs="Traditional Arabic" w:eastAsia="Traditional Arabic" w:hAnsi="Traditional Arabic"/>
          <w:b/>
          <w:bCs/>
          <w:i w:val="false"/>
          <w:iCs w:val="false"/>
          <w:sz w:val="28"/>
          <w:szCs w:val="28"/>
          <w:rtl/>
        </w:rPr>
        <w:t xml:space="preserve">قضيّةٌ يسيرةٌ تُحَلُّ في جلسةٍ هادئةٍ بسماعٍ وحوار!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ألم يأمُرْك اللهُ أن تعِظَها — والوعظُ من الخطاب؟ فما لي أراك تواريتَ خلف أسوار صمتك واستخدمتَ حيلةَ العاجز: الطلاق؟</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ثم تأتي مهرولًا إلى ابن عباسٍ ﵄ — أو إلى مَن سار على طريقه — فتقول: طلّقت! </w:t>
      </w:r>
      <w:r>
        <w:rPr>
          <w:rFonts w:ascii="Traditional Arabic" w:cs="Traditional Arabic" w:eastAsia="Traditional Arabic" w:hAnsi="Traditional Arabic"/>
          <w:b/>
          <w:bCs/>
          <w:i w:val="false"/>
          <w:iCs w:val="false"/>
          <w:sz w:val="28"/>
          <w:szCs w:val="28"/>
          <w:rtl/>
        </w:rPr>
        <w:t xml:space="preserve">فيقول لك: «يرتكبُ أحدُكم أُحموقتَه ثم يأتي يقول: يا ابنَ عباس! يا ابنَ عباس!» — وأين كان عقلُك؟</w:t>
      </w:r>
      <w:r>
        <w:rPr>
          <w:rStyle w:val="FootnoteReference"/>
        </w:rPr>
        <w:footnoteReference w:id="2"/>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الموضع الثالث: الحوارُ مع المخالف</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 كلامك مع المخالف لك في دينك ومعتقدك ومنهجك: </w:t>
      </w:r>
      <w:r>
        <w:rPr>
          <w:rFonts w:ascii="Traditional Arabic" w:cs="Traditional Arabic" w:eastAsia="Traditional Arabic" w:hAnsi="Traditional Arabic"/>
          <w:b/>
          <w:bCs/>
          <w:i w:val="false"/>
          <w:iCs w:val="false"/>
          <w:sz w:val="28"/>
          <w:szCs w:val="28"/>
          <w:rtl/>
        </w:rPr>
        <w:t xml:space="preserve">لا تُغادِرِ الشريعةَ قِيدَ أُنمُلة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﴿وَجَادِلْهُم بِالَّتِي هِيَ أَحْسَنُ﴾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 لي أراك — لا مع المخالفين ولا مع الكفّار، بل مع أقرب الناس إليك — فظًّا غليظًا جِلفًا قاسيًا تستخدم أوحشَ العبارات؟!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واللهِ </w:t>
      </w:r>
      <w:r>
        <w:rPr>
          <w:rFonts w:ascii="Traditional Arabic" w:cs="Traditional Arabic" w:eastAsia="Traditional Arabic" w:hAnsi="Traditional Arabic"/>
          <w:b/>
          <w:bCs/>
          <w:i w:val="false"/>
          <w:iCs w:val="false"/>
          <w:sz w:val="28"/>
          <w:szCs w:val="28"/>
          <w:rtl/>
        </w:rPr>
        <w:t xml:space="preserve">كم من إنسانٍ نفَر من الحقِّ وأهله لفظاظة الداعين إليه!</w:t>
      </w:r>
      <w:r>
        <w:rPr>
          <w:rFonts w:ascii="Traditional Arabic" w:cs="Traditional Arabic" w:eastAsia="Traditional Arabic" w:hAnsi="Traditional Arabic"/>
          <w:b w:val="false"/>
          <w:bCs w:val="false"/>
          <w:i w:val="false"/>
          <w:iCs w:val="false"/>
          <w:sz w:val="28"/>
          <w:szCs w:val="28"/>
          <w:rtl/>
        </w:rPr>
        <w:t xml:space="preserve"> واللهُ يقول لخير خلقه: </w:t>
      </w:r>
      <w:r>
        <w:rPr>
          <w:rFonts w:ascii="Traditional Arabic" w:cs="Traditional Arabic" w:eastAsia="Traditional Arabic" w:hAnsi="Traditional Arabic"/>
          <w:b/>
          <w:bCs/>
          <w:i w:val="false"/>
          <w:iCs w:val="false"/>
          <w:sz w:val="28"/>
          <w:szCs w:val="28"/>
          <w:rtl/>
        </w:rPr>
        <w:t xml:space="preserve">﴿فَبِمَا رَحْمَةٍ مِّنَ اللَّهِ لِنتَ لَهُمْ ۖ وَلَوْ كُنتَ فَظًّا غَلِيظَ الْقَلْبِ لَانفَضُّوا مِنْ حَوْلِكَ﴾</w:t>
      </w:r>
      <w:r>
        <w:rPr>
          <w:rFonts w:ascii="Traditional Arabic" w:cs="Traditional Arabic" w:eastAsia="Traditional Arabic" w:hAnsi="Traditional Arabic"/>
          <w:b w:val="false"/>
          <w:bCs w:val="false"/>
          <w:i w:val="false"/>
          <w:iCs w:val="false"/>
          <w:sz w:val="28"/>
          <w:szCs w:val="28"/>
          <w:rtl/>
        </w:rPr>
        <w:t xml:space="preserve">. وقال ﷺ لعائشةَ ﵂: </w:t>
      </w:r>
      <w:r>
        <w:rPr>
          <w:rFonts w:ascii="Traditional Arabic" w:cs="Traditional Arabic" w:eastAsia="Traditional Arabic" w:hAnsi="Traditional Arabic"/>
          <w:b/>
          <w:bCs/>
          <w:i w:val="false"/>
          <w:iCs w:val="false"/>
          <w:sz w:val="28"/>
          <w:szCs w:val="28"/>
          <w:rtl/>
        </w:rPr>
        <w:t xml:space="preserve">«ما كان الرِّفقُ في شيءٍ إلا زانه، ولا نُزِع من شيءٍ إلا شانه»</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ولكن: ما لا يقبل التنازل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انتبِهْ في حوارك؛ فإنّ ثمّةَ أمورًا لا تقبل التنازلات: </w:t>
      </w:r>
      <w:r>
        <w:rPr>
          <w:rFonts w:ascii="Traditional Arabic" w:cs="Traditional Arabic" w:eastAsia="Traditional Arabic" w:hAnsi="Traditional Arabic"/>
          <w:b/>
          <w:bCs/>
          <w:i w:val="false"/>
          <w:iCs w:val="false"/>
          <w:sz w:val="28"/>
          <w:szCs w:val="28"/>
          <w:rtl/>
        </w:rPr>
        <w:t xml:space="preserve">فالتوحيدُ لا يقبل التنازل، وسنّةُ المصطفى ﷺ لا تقبل أنصافَ الحلول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فإيّاك أن تتخلّى عن توحيدك أو عن سنّة نبيّك في سبيل «التقارب» و«الوئام» و«احترام الآخر»!</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واعلم أنّ خطابك مع </w:t>
      </w:r>
      <w:r>
        <w:rPr>
          <w:rFonts w:ascii="Traditional Arabic" w:cs="Traditional Arabic" w:eastAsia="Traditional Arabic" w:hAnsi="Traditional Arabic"/>
          <w:b/>
          <w:bCs/>
          <w:i w:val="false"/>
          <w:iCs w:val="false"/>
          <w:sz w:val="28"/>
          <w:szCs w:val="28"/>
          <w:rtl/>
        </w:rPr>
        <w:t xml:space="preserve">الكفّار الغاصبين المحتلّين لديارنا ومقدّساتنا</w:t>
      </w:r>
      <w:r>
        <w:rPr>
          <w:rFonts w:ascii="Traditional Arabic" w:cs="Traditional Arabic" w:eastAsia="Traditional Arabic" w:hAnsi="Traditional Arabic"/>
          <w:b w:val="false"/>
          <w:bCs w:val="false"/>
          <w:i w:val="false"/>
          <w:iCs w:val="false"/>
          <w:sz w:val="28"/>
          <w:szCs w:val="28"/>
          <w:rtl/>
        </w:rPr>
        <w:t xml:space="preserve"> ليس محلَّ مُجاملة؛ </w:t>
      </w:r>
      <w:r>
        <w:rPr>
          <w:rFonts w:ascii="Traditional Arabic" w:cs="Traditional Arabic" w:eastAsia="Traditional Arabic" w:hAnsi="Traditional Arabic"/>
          <w:b/>
          <w:bCs/>
          <w:i w:val="false"/>
          <w:iCs w:val="false"/>
          <w:sz w:val="28"/>
          <w:szCs w:val="28"/>
          <w:rtl/>
        </w:rPr>
        <w:t xml:space="preserve">فإنّ الآدابَ تكون في مقام العزّة والنصر والتمكين، لا في مقام الذلّ</w:t>
      </w:r>
      <w:r>
        <w:rPr>
          <w:rFonts w:ascii="Traditional Arabic" w:cs="Traditional Arabic" w:eastAsia="Traditional Arabic" w:hAnsi="Traditional Arabic"/>
          <w:b w:val="false"/>
          <w:bCs w:val="false"/>
          <w:i w:val="false"/>
          <w:iCs w:val="false"/>
          <w:sz w:val="28"/>
          <w:szCs w:val="28"/>
          <w:rtl/>
        </w:rPr>
        <w:t xml:space="preserve">. وصدق أبو تمّام:</w:t>
      </w:r>
    </w:p>
    <w:p>
      <w:pPr>
        <w:bidi/>
        <w:spacing w:after="130" w:line="365"/>
        <w:jc w:val="center"/>
      </w:pPr>
      <w:r>
        <w:rPr>
          <w:rFonts w:ascii="Traditional Arabic" w:cs="Traditional Arabic" w:eastAsia="Traditional Arabic" w:hAnsi="Traditional Arabic"/>
          <w:b/>
          <w:bCs/>
          <w:i w:val="false"/>
          <w:iCs w:val="false"/>
          <w:sz w:val="28"/>
          <w:szCs w:val="28"/>
          <w:rtl/>
        </w:rPr>
        <w:t xml:space="preserve">السَّيفُ أصدَقُ أنباءً مِنَ الكُتُبِ ••• في حَدِّهِ الحَدُّ بَينَ الجِدِّ واللَّعِبِ</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يُعِزَّ دينَه وتوحيدَه وسنّةَ نبيّه ﷺ والسائرين عليه.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من أخبار التراجم في «صفة الصفوة» لابن الجوزي و«حلية الأولياء» لأبي نعيم؛ تُساق للاعتبار لا للاحتجاج.</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(٢١٩٧) بسنده عن مجاهدٍ عن ابن عباسٍ ﵄. وقصّةُ الرجل الذي طلّق ثلاثًا ثابتةٌ في «سنن أبي داود»، وصحّح إسنادَها الألباني في «صحيح أبي داود» (١٨٩٩).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الحوارُ شِرعةٌ إسلاميّة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2026-08-02T02:54:19.130Z</dcterms:created>
  <dcterms:modified xsi:type="dcterms:W3CDTF">2026-08-02T02:54:19.147Z</dcterms:modified>
</cp:coreProperties>
</file>

<file path=docProps/custom.xml><?xml version="1.0" encoding="utf-8"?>
<Properties xmlns="http://schemas.openxmlformats.org/officeDocument/2006/custom-properties" xmlns:vt="http://schemas.openxmlformats.org/officeDocument/2006/docPropsVTypes"/>
</file>