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فضائلُ الصلاةِ على النبيِّ ﷺ</w:t>
      </w:r>
    </w:p>
    <w:p>
      <w:pPr>
        <w:spacing w:after="120"/>
      </w:pPr>
      <w:r>
        <w:rPr>
          <w:color w:val="8A6A1F"/>
          <w:sz w:val="36"/>
          <w:szCs w:val="36"/>
        </w:rPr>
        <w:t xml:space="preserve">ثناءُ اللهِ، ورِفعةُ الدرجات، وتفريجُ الكُرُبات، وقُربُ المنزلةِ منه ﷺ</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عبادةٌ فعلَها ربُّ العالمين</w:t>
      </w:r>
    </w:p>
    <w:p>
      <w:pPr>
        <w:spacing w:after="140" w:line="340" w:lineRule="auto"/>
        <w:jc w:val="both"/>
      </w:pPr>
      <w:r>
        <w:rPr>
          <w:color w:val="1A1A1A"/>
          <w:sz w:val="36"/>
          <w:szCs w:val="36"/>
        </w:rPr>
        <w:t xml:space="preserve">وبعدُ، أحبَّتي في الله، معاشرَ المصلِّين: عبادةٌ جليلةٌ وذِكرٌ جَزْل، أمرَ اللهُ بها عبادَه، بل فعَلَها سبحانه ومَلائكتُه:</w:t>
      </w:r>
    </w:p>
    <w:p>
      <w:pPr>
        <w:pBdr>
          <w:right w:val="single" w:sz="12" w:space="10" w:color="8A6A1F"/>
        </w:pBdr>
        <w:spacing w:before="120" w:after="160" w:line="320" w:lineRule="auto"/>
        <w:ind w:left="504" w:right="504"/>
        <w:jc w:val="both"/>
      </w:pPr>
      <w:r>
        <w:rPr>
          <w:b/>
          <w:bCs/>
          <w:color w:val="8A6A1F"/>
          <w:sz w:val="36"/>
          <w:szCs w:val="36"/>
        </w:rPr>
        <w:t xml:space="preserve">﴿إِنَّ اللَّهَ وَمَلَائِكَتَهُ يُصَلُّونَ عَلَى النَّبِيِّ ۚ يَا أَيُّهَا الَّذِينَ آمَنُوا صَلُّوا عَلَيْهِ وَسَلِّمُوا تَسْلِيمًا﴾</w:t>
      </w:r>
    </w:p>
    <w:p>
      <w:pPr>
        <w:spacing w:after="140" w:line="340" w:lineRule="auto"/>
        <w:jc w:val="both"/>
      </w:pPr>
      <w:r>
        <w:rPr>
          <w:color w:val="1A1A1A"/>
          <w:sz w:val="36"/>
          <w:szCs w:val="36"/>
        </w:rPr>
        <w:t xml:space="preserve">حديثي عن **الصلاةِ على النبيِّ ﷺ**؛ في زمانٍ قلَّ فيه المُحِبُّون وهجَرَ فيه الذاكرون. فيا من جَفَّ نبعُ المحبَّةِ في قلبِه فما عادَ لسانُه يتحرَّكُ بالصلاةِ على نبيِّه ـ إنّ اللسانَ إنما يَغرِفُ من مَعينِ القلب. فكم مساحةُ صلاتِك على رسولِك؟</w:t>
      </w:r>
    </w:p>
    <w:p>
      <w:pPr>
        <w:spacing w:before="260" w:after="120"/>
      </w:pPr>
      <w:r>
        <w:rPr>
          <w:b/>
          <w:bCs/>
          <w:color w:val="1F5C3A"/>
          <w:sz w:val="36"/>
          <w:szCs w:val="36"/>
        </w:rPr>
        <w:t xml:space="preserve">أولًا: ثناءُ اللهِ عليك</w:t>
      </w:r>
    </w:p>
    <w:p>
      <w:pPr>
        <w:spacing w:after="140" w:line="340" w:lineRule="auto"/>
        <w:jc w:val="both"/>
      </w:pPr>
      <w:r>
        <w:rPr>
          <w:color w:val="1A1A1A"/>
          <w:sz w:val="36"/>
          <w:szCs w:val="36"/>
        </w:rPr>
        <w:t xml:space="preserve">ثناءُ من؟ ثناءُ العزيزِ الكبيرِ المتعال! أخرجَ مسلمٌ من حديث أبي هريرةَ ﵁:</w:t>
      </w:r>
    </w:p>
    <w:p>
      <w:pPr>
        <w:pBdr>
          <w:right w:val="single" w:sz="12" w:space="10" w:color="8A6A1F"/>
        </w:pBdr>
        <w:spacing w:before="120" w:after="160" w:line="320" w:lineRule="auto"/>
        <w:ind w:left="504" w:right="504"/>
        <w:jc w:val="both"/>
      </w:pPr>
      <w:r>
        <w:rPr>
          <w:b/>
          <w:bCs/>
          <w:color w:val="1F5C3A"/>
          <w:sz w:val="36"/>
          <w:szCs w:val="36"/>
        </w:rPr>
        <w:t xml:space="preserve">«مَن صلّى عليَّ واحدةً صلّى اللهُ عليه بها عشرًا»</w:t>
      </w:r>
      <w:r>
        <w:rPr>
          <w:rStyle w:val="a5"/>
          <w:sz w:val="36"/>
          <w:szCs w:val="36"/>
        </w:rPr>
        <w:footnoteReference w:id="1"/>
      </w:r>
    </w:p>
    <w:p>
      <w:pPr>
        <w:spacing w:after="140" w:line="340" w:lineRule="auto"/>
        <w:jc w:val="both"/>
      </w:pPr>
      <w:r>
        <w:rPr>
          <w:color w:val="1A1A1A"/>
          <w:sz w:val="36"/>
          <w:szCs w:val="36"/>
        </w:rPr>
        <w:t xml:space="preserve">وصلاةُ اللهِ على عبدِه ـ كما فسَّرَها أبو العالية ـ **ثناؤه عليه في المَلَإ الأعلى**.</w:t>
      </w:r>
      <w:r>
        <w:rPr>
          <w:rStyle w:val="a5"/>
          <w:sz w:val="36"/>
          <w:szCs w:val="36"/>
        </w:rPr>
        <w:footnoteReference w:id="2"/>
      </w:r>
      <w:r>
        <w:rPr>
          <w:color w:val="1A1A1A"/>
          <w:sz w:val="36"/>
          <w:szCs w:val="36"/>
        </w:rPr>
        <w:t xml:space="preserve"> فلو بلَغَك أنّ رجلًا من بني الدنيا يُثني عليك لَطرِبتَ فرحًا؛ فكيف بثناءِ اللهِ عشرَ مرّات؟!</w:t>
      </w:r>
    </w:p>
    <w:p>
      <w:pPr>
        <w:spacing w:after="140" w:line="340" w:lineRule="auto"/>
        <w:jc w:val="both"/>
      </w:pPr>
      <w:r>
        <w:rPr>
          <w:color w:val="1A1A1A"/>
          <w:sz w:val="36"/>
          <w:szCs w:val="36"/>
        </w:rPr>
        <w:t xml:space="preserve">وتأمَّلْ هذا الحديثَ العجيب: خرجَ النبيُّ ﷺ فدخلَ نَخلًا فسجدَ سجودًا أطالَه، حتى ظنَّ عبدُ الرحمنِ بنُ عوفٍ ﵁ أنّ اللهَ قد توفّاه؛ فلمّا رفعَ رأسَه سألَه، فقال ﷺ:</w:t>
      </w:r>
    </w:p>
    <w:p>
      <w:pPr>
        <w:pBdr>
          <w:right w:val="single" w:sz="12" w:space="10" w:color="8A6A1F"/>
        </w:pBdr>
        <w:spacing w:before="120" w:after="160" w:line="320" w:lineRule="auto"/>
        <w:ind w:left="504" w:right="504"/>
        <w:jc w:val="both"/>
      </w:pPr>
      <w:r>
        <w:rPr>
          <w:b/>
          <w:bCs/>
          <w:color w:val="1F5C3A"/>
          <w:sz w:val="36"/>
          <w:szCs w:val="36"/>
        </w:rPr>
        <w:t xml:space="preserve">«إنّ جبريلَ أتاني فقال: ألا أُبشِّرُك؟ إنّ اللهَ ﷿ يقولُ لك: من صلّى عليك صلَّيتُ عليه، ومن سلَّمَ عليك سلَّمتُ عليه؛ فسجدتُ للهِ شُكرًا»</w:t>
      </w:r>
      <w:r>
        <w:rPr>
          <w:rStyle w:val="a5"/>
          <w:sz w:val="36"/>
          <w:szCs w:val="36"/>
        </w:rPr>
        <w:footnoteReference w:id="3"/>
      </w:r>
    </w:p>
    <w:p>
      <w:pPr>
        <w:spacing w:before="260" w:after="120"/>
      </w:pPr>
      <w:r>
        <w:rPr>
          <w:b/>
          <w:bCs/>
          <w:color w:val="1F5C3A"/>
          <w:sz w:val="36"/>
          <w:szCs w:val="36"/>
        </w:rPr>
        <w:t xml:space="preserve">ثانيًا: رِفعةُ الدرجاتِ وتكفيرُ السيئات</w:t>
      </w:r>
    </w:p>
    <w:p>
      <w:pPr>
        <w:spacing w:after="140" w:line="340" w:lineRule="auto"/>
        <w:jc w:val="both"/>
      </w:pPr>
      <w:r>
        <w:rPr>
          <w:color w:val="1A1A1A"/>
          <w:sz w:val="36"/>
          <w:szCs w:val="36"/>
        </w:rPr>
        <w:t xml:space="preserve">ذنوبُنا كثيرة، ونحن نحتاجُ إلى مُكفِّرات؛ ونبحثُ عن درجاتٍ عالياتٍ عند ربِّ البريّات. قال ﷺ:</w:t>
      </w:r>
    </w:p>
    <w:p>
      <w:pPr>
        <w:pBdr>
          <w:right w:val="single" w:sz="12" w:space="10" w:color="8A6A1F"/>
        </w:pBdr>
        <w:spacing w:before="120" w:after="160" w:line="320" w:lineRule="auto"/>
        <w:ind w:left="504" w:right="504"/>
        <w:jc w:val="both"/>
      </w:pPr>
      <w:r>
        <w:rPr>
          <w:b/>
          <w:bCs/>
          <w:color w:val="1F5C3A"/>
          <w:sz w:val="36"/>
          <w:szCs w:val="36"/>
        </w:rPr>
        <w:t xml:space="preserve">«مَن صلّى عليَّ صلاةً واحدةً صلّى اللهُ عليه عشرَ صلوات، وحُطَّتْ عنه عشرُ خطيئات، ورُفِعَتْ له عشرُ درجات»</w:t>
      </w:r>
      <w:r>
        <w:rPr>
          <w:rStyle w:val="a5"/>
          <w:sz w:val="36"/>
          <w:szCs w:val="36"/>
        </w:rPr>
        <w:footnoteReference w:id="4"/>
      </w:r>
    </w:p>
    <w:p>
      <w:pPr>
        <w:spacing w:after="140" w:line="340" w:lineRule="auto"/>
        <w:jc w:val="both"/>
      </w:pPr>
      <w:r>
        <w:rPr>
          <w:color w:val="1A1A1A"/>
          <w:sz w:val="36"/>
          <w:szCs w:val="36"/>
        </w:rPr>
        <w:t xml:space="preserve">فأقبِحْ بعبدٍ يَقدَمُ يومَ القيامةِ بدرجاتٍ نازلاتٍ وخطاياتٍ وكان يسَعُه أن يُصلِّيَ على نبيِّه!</w:t>
      </w:r>
    </w:p>
    <w:p>
      <w:pPr>
        <w:spacing w:before="260" w:after="120"/>
      </w:pPr>
      <w:r>
        <w:rPr>
          <w:b/>
          <w:bCs/>
          <w:color w:val="1F5C3A"/>
          <w:sz w:val="36"/>
          <w:szCs w:val="36"/>
        </w:rPr>
        <w:t xml:space="preserve">ثالثًا: دعاءُ الملائكةِ لك</w:t>
      </w:r>
    </w:p>
    <w:p>
      <w:pPr>
        <w:spacing w:after="140" w:line="340" w:lineRule="auto"/>
        <w:jc w:val="both"/>
      </w:pPr>
      <w:r>
        <w:rPr>
          <w:color w:val="1A1A1A"/>
          <w:sz w:val="36"/>
          <w:szCs w:val="36"/>
        </w:rPr>
        <w:t xml:space="preserve">من الذي يدعو لك؟ ليس بشرًا صاحبَ ذنب؛ إنما هم الملائكةُ العبادُ المُكرَمون. قال ﷺ:</w:t>
      </w:r>
    </w:p>
    <w:p>
      <w:pPr>
        <w:pBdr>
          <w:right w:val="single" w:sz="12" w:space="10" w:color="8A6A1F"/>
        </w:pBdr>
        <w:spacing w:before="120" w:after="160" w:line="320" w:lineRule="auto"/>
        <w:ind w:left="504" w:right="504"/>
        <w:jc w:val="both"/>
      </w:pPr>
      <w:r>
        <w:rPr>
          <w:b/>
          <w:bCs/>
          <w:color w:val="1F5C3A"/>
          <w:sz w:val="36"/>
          <w:szCs w:val="36"/>
        </w:rPr>
        <w:t xml:space="preserve">«مَن صلّى عليَّ صلاةً لم تزَلِ الملائكةُ تُصلِّي عليه ما صلّى عليَّ؛ فليُقِلَّ عبدٌ من ذلك أو ليُكثِر»</w:t>
      </w:r>
      <w:r>
        <w:rPr>
          <w:rStyle w:val="a5"/>
          <w:sz w:val="36"/>
          <w:szCs w:val="36"/>
        </w:rPr>
        <w:footnoteReference w:id="5"/>
      </w:r>
    </w:p>
    <w:p>
      <w:pPr>
        <w:spacing w:after="140" w:line="340" w:lineRule="auto"/>
        <w:jc w:val="both"/>
      </w:pPr>
      <w:r>
        <w:rPr>
          <w:color w:val="1A1A1A"/>
          <w:sz w:val="36"/>
          <w:szCs w:val="36"/>
        </w:rPr>
        <w:t xml:space="preserve">فليكُنْ لاسمِك ذِكرٌ في المَلَإ الأعلى من كثرةِ الملائكةِ الداعينَ لك.</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زوالُ الهُمومِ وتفريجُ الكُرُبات</w:t>
      </w:r>
    </w:p>
    <w:p>
      <w:pPr>
        <w:spacing w:after="140" w:line="340" w:lineRule="auto"/>
        <w:jc w:val="both"/>
      </w:pPr>
      <w:r>
        <w:rPr>
          <w:color w:val="1A1A1A"/>
          <w:sz w:val="36"/>
          <w:szCs w:val="36"/>
        </w:rPr>
        <w:t xml:space="preserve">يا أيها الحزينُ المهموم، أثقلَتْك الهُمومُ والديون: دونَك بوّابةَ التفريج. أخرجَ الترمذيُّ من حديث أُبَيِّ بنِ كعبٍ ﵁ ـ وهو الصحابيُّ الذي أمرَ اللهُ نبيَّه ﷺ أن يقرأَ عليه القرآن، فقال أُبَيّ: **آللهُ سمّاني لك؟** قال: </w:t>
      </w:r>
      <w:r>
        <w:rPr>
          <w:b/>
          <w:bCs/>
          <w:color w:val="1F5C3A"/>
          <w:sz w:val="36"/>
          <w:szCs w:val="36"/>
        </w:rPr>
        <w:t xml:space="preserve">«نعم»</w:t>
      </w:r>
      <w:r>
        <w:rPr>
          <w:color w:val="1A1A1A"/>
          <w:sz w:val="36"/>
          <w:szCs w:val="36"/>
        </w:rPr>
        <w:t xml:space="preserve">. فبكى</w:t>
      </w:r>
      <w:r>
        <w:rPr>
          <w:rStyle w:val="a5"/>
          <w:sz w:val="36"/>
          <w:szCs w:val="36"/>
        </w:rPr>
        <w:footnoteReference w:id="6"/>
      </w:r>
      <w:r>
        <w:rPr>
          <w:color w:val="1A1A1A"/>
          <w:sz w:val="36"/>
          <w:szCs w:val="36"/>
        </w:rPr>
        <w:t xml:space="preserve"> ـ قال أُبَيّ:</w:t>
      </w:r>
    </w:p>
    <w:p>
      <w:pPr>
        <w:pBdr>
          <w:right w:val="single" w:sz="12" w:space="10" w:color="8A6A1F"/>
        </w:pBdr>
        <w:spacing w:before="120" w:after="160" w:line="320" w:lineRule="auto"/>
        <w:ind w:left="504" w:right="504"/>
        <w:jc w:val="both"/>
      </w:pPr>
      <w:r>
        <w:rPr>
          <w:b/>
          <w:bCs/>
          <w:color w:val="1F5C3A"/>
          <w:sz w:val="36"/>
          <w:szCs w:val="36"/>
        </w:rPr>
        <w:t xml:space="preserve">«يا رسولَ الله، إني أُكثِرُ الصلاةَ عليك، فكم أجعَلُ لك من صلاتي؟»</w:t>
      </w:r>
      <w:r>
        <w:rPr>
          <w:b/>
          <w:bCs/>
          <w:color w:val="1F5C3A"/>
          <w:sz w:val="36"/>
          <w:szCs w:val="36"/>
        </w:rPr>
        <w:t xml:space="preserve"> قال: </w:t>
      </w:r>
      <w:r>
        <w:rPr>
          <w:b/>
          <w:bCs/>
          <w:color w:val="1F5C3A"/>
          <w:sz w:val="36"/>
          <w:szCs w:val="36"/>
        </w:rPr>
        <w:t xml:space="preserve">«ما شِئت»</w:t>
      </w:r>
      <w:r>
        <w:rPr>
          <w:b/>
          <w:bCs/>
          <w:color w:val="1F5C3A"/>
          <w:sz w:val="36"/>
          <w:szCs w:val="36"/>
        </w:rPr>
        <w:t xml:space="preserve">. قلت: الرُّبُع؟ قال: </w:t>
      </w:r>
      <w:r>
        <w:rPr>
          <w:b/>
          <w:bCs/>
          <w:color w:val="1F5C3A"/>
          <w:sz w:val="36"/>
          <w:szCs w:val="36"/>
        </w:rPr>
        <w:t xml:space="preserve">«ما شِئت، فإن زِدتَ فهو خيرٌ لك»</w:t>
      </w:r>
      <w:r>
        <w:rPr>
          <w:b/>
          <w:bCs/>
          <w:color w:val="1F5C3A"/>
          <w:sz w:val="36"/>
          <w:szCs w:val="36"/>
        </w:rPr>
        <w:t xml:space="preserve">. قلت: النِّصف؟ قال: </w:t>
      </w:r>
      <w:r>
        <w:rPr>
          <w:b/>
          <w:bCs/>
          <w:color w:val="1F5C3A"/>
          <w:sz w:val="36"/>
          <w:szCs w:val="36"/>
        </w:rPr>
        <w:t xml:space="preserve">«ما شِئت، فإن زِدتَ فهو خيرٌ لك»</w:t>
      </w:r>
      <w:r>
        <w:rPr>
          <w:b/>
          <w:bCs/>
          <w:color w:val="1F5C3A"/>
          <w:sz w:val="36"/>
          <w:szCs w:val="36"/>
        </w:rPr>
        <w:t xml:space="preserve">. قلت: الثُّلُثَين؟ قال: </w:t>
      </w:r>
      <w:r>
        <w:rPr>
          <w:b/>
          <w:bCs/>
          <w:color w:val="1F5C3A"/>
          <w:sz w:val="36"/>
          <w:szCs w:val="36"/>
        </w:rPr>
        <w:t xml:space="preserve">«ما شِئت، فإن زِدتَ فهو خيرٌ لك»</w:t>
      </w:r>
      <w:r>
        <w:rPr>
          <w:b/>
          <w:bCs/>
          <w:color w:val="1F5C3A"/>
          <w:sz w:val="36"/>
          <w:szCs w:val="36"/>
        </w:rPr>
        <w:t xml:space="preserve">. قلت: أجعَلُ لك صلاتي كلَّها. قال: </w:t>
      </w:r>
      <w:r>
        <w:rPr>
          <w:b/>
          <w:bCs/>
          <w:color w:val="1F5C3A"/>
          <w:sz w:val="36"/>
          <w:szCs w:val="36"/>
        </w:rPr>
        <w:t xml:space="preserve">«إذًا تُكفى هَمَّك ويُغفَرُ ذنبُك»</w:t>
      </w:r>
      <w:r>
        <w:rPr>
          <w:rStyle w:val="a5"/>
          <w:sz w:val="36"/>
          <w:szCs w:val="36"/>
        </w:rPr>
        <w:footnoteReference w:id="7"/>
      </w:r>
    </w:p>
    <w:p>
      <w:pPr>
        <w:spacing w:after="140" w:line="340" w:lineRule="auto"/>
        <w:jc w:val="both"/>
      </w:pPr>
      <w:r>
        <w:rPr>
          <w:color w:val="1A1A1A"/>
          <w:sz w:val="36"/>
          <w:szCs w:val="36"/>
        </w:rPr>
        <w:t xml:space="preserve">**</w:t>
      </w:r>
      <w:r>
        <w:rPr>
          <w:b/>
          <w:bCs/>
          <w:color w:val="1F5C3A"/>
          <w:sz w:val="36"/>
          <w:szCs w:val="36"/>
        </w:rPr>
        <w:t xml:space="preserve">«تُكفى هَمَّك ويُغفَرُ ذنبُك»</w:t>
      </w:r>
      <w:r>
        <w:rPr>
          <w:color w:val="1A1A1A"/>
          <w:sz w:val="36"/>
          <w:szCs w:val="36"/>
        </w:rPr>
        <w:t xml:space="preserve">**! فما الذي تريدُه من دعائِك؟ أليس هذا هو؟</w:t>
      </w:r>
    </w:p>
    <w:p>
      <w:pPr>
        <w:spacing w:after="140" w:line="340" w:lineRule="auto"/>
        <w:jc w:val="both"/>
      </w:pPr>
      <w:r>
        <w:rPr>
          <w:color w:val="1A1A1A"/>
          <w:sz w:val="36"/>
          <w:szCs w:val="36"/>
        </w:rPr>
        <w:t xml:space="preserve">فيا مسلم: أهلُنا المستضعَفون في كَربٍ وشِدَّة؛ فهل صلَّيتَ على رسولِ اللهِ ﷺ تريدُ بها أن يُفرِّجَ اللهُ عنهم؟ أم أنّ شأنَهم لا يعنيك؟ فإنّ المؤمنينَ جسدٌ واحد؛ من صدَقَ انتماؤُه إليه باتَ يألَمُ لألَمِه.</w:t>
      </w:r>
    </w:p>
    <w:p>
      <w:pPr>
        <w:spacing w:before="260" w:after="120"/>
      </w:pPr>
      <w:r>
        <w:rPr>
          <w:b/>
          <w:bCs/>
          <w:color w:val="1F5C3A"/>
          <w:sz w:val="36"/>
          <w:szCs w:val="36"/>
        </w:rPr>
        <w:t xml:space="preserve">خامسًا: قُربُ المنزلةِ منه ﷺ يومَ القيامة</w:t>
      </w:r>
    </w:p>
    <w:p>
      <w:pPr>
        <w:spacing w:after="140" w:line="340" w:lineRule="auto"/>
        <w:jc w:val="both"/>
      </w:pPr>
      <w:r>
        <w:rPr>
          <w:color w:val="1A1A1A"/>
          <w:sz w:val="36"/>
          <w:szCs w:val="36"/>
        </w:rPr>
        <w:t xml:space="preserve">فقد فازَ الصدِّيقُ وعمرُ وعثمانُ وعليٌّ ﵃ بصُحبتِه في الدنيا؛ فما منزلتُنا نحن منه؟ قال ﷺ:</w:t>
      </w:r>
    </w:p>
    <w:p>
      <w:pPr>
        <w:pBdr>
          <w:right w:val="single" w:sz="12" w:space="10" w:color="8A6A1F"/>
        </w:pBdr>
        <w:spacing w:before="120" w:after="160" w:line="320" w:lineRule="auto"/>
        <w:ind w:left="504" w:right="504"/>
        <w:jc w:val="both"/>
      </w:pPr>
      <w:r>
        <w:rPr>
          <w:b/>
          <w:bCs/>
          <w:color w:val="1F5C3A"/>
          <w:sz w:val="36"/>
          <w:szCs w:val="36"/>
        </w:rPr>
        <w:t xml:space="preserve">«أَولى الناسِ بي يومَ القيامةِ أكثرُهم عليَّ صلاة»</w:t>
      </w:r>
      <w:r>
        <w:rPr>
          <w:rStyle w:val="a5"/>
          <w:sz w:val="36"/>
          <w:szCs w:val="36"/>
        </w:rPr>
        <w:footnoteReference w:id="8"/>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«أكثِروا عليَّ من الصلاةِ يومَ الجمعة؛ فإنّ صلاتَكم معروضةٌ عليَّ»</w:t>
      </w:r>
      <w:r>
        <w:rPr>
          <w:rStyle w:val="a5"/>
          <w:sz w:val="36"/>
          <w:szCs w:val="36"/>
        </w:rPr>
        <w:footnoteReference w:id="9"/>
      </w:r>
    </w:p>
    <w:p>
      <w:pPr>
        <w:spacing w:after="140" w:line="340" w:lineRule="auto"/>
        <w:jc w:val="both"/>
      </w:pPr>
      <w:r>
        <w:rPr>
          <w:color w:val="1A1A1A"/>
          <w:sz w:val="36"/>
          <w:szCs w:val="36"/>
        </w:rPr>
        <w:t xml:space="preserve">فجُمَعٌ كثيرةٌ مرَّتْ بك؛ فكم صلاةً عُرِضَتْ عليه منك؟</w:t>
      </w:r>
    </w:p>
    <w:p>
      <w:pPr>
        <w:spacing w:before="260" w:after="120"/>
      </w:pPr>
      <w:r>
        <w:rPr>
          <w:b/>
          <w:bCs/>
          <w:color w:val="1F5C3A"/>
          <w:sz w:val="36"/>
          <w:szCs w:val="36"/>
        </w:rPr>
        <w:t xml:space="preserve">خاتمة: إيّاك والبُخل</w:t>
      </w:r>
    </w:p>
    <w:p>
      <w:pPr>
        <w:spacing w:after="140" w:line="340" w:lineRule="auto"/>
        <w:jc w:val="both"/>
      </w:pPr>
      <w:r>
        <w:rPr>
          <w:color w:val="1A1A1A"/>
          <w:sz w:val="36"/>
          <w:szCs w:val="36"/>
        </w:rPr>
        <w:t xml:space="preserve">فإنّ الهاجرَ غيرُ الذاكر، والذي لا يتحرَّكُ لسانُه لأنّ قلبَه لم يتحرَّك ـ فقد وصفَه ﷺ بالبُخل:</w:t>
      </w:r>
    </w:p>
    <w:p>
      <w:pPr>
        <w:pBdr>
          <w:right w:val="single" w:sz="12" w:space="10" w:color="8A6A1F"/>
        </w:pBdr>
        <w:spacing w:before="120" w:after="160" w:line="320" w:lineRule="auto"/>
        <w:ind w:left="504" w:right="504"/>
        <w:jc w:val="both"/>
      </w:pPr>
      <w:r>
        <w:rPr>
          <w:b/>
          <w:bCs/>
          <w:color w:val="1F5C3A"/>
          <w:sz w:val="36"/>
          <w:szCs w:val="36"/>
        </w:rPr>
        <w:t xml:space="preserve">«البخيلُ من ذُكِرتُ عندَه فلم يُصَلِّ عليّ»</w:t>
      </w:r>
      <w:r>
        <w:rPr>
          <w:rStyle w:val="a5"/>
          <w:sz w:val="36"/>
          <w:szCs w:val="36"/>
        </w:rPr>
        <w:footnoteReference w:id="10"/>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«رَغِمَ أنفُ رجلٍ ذُكِرتُ عندَه فلم يُصَلِّ عليّ»</w:t>
      </w:r>
      <w:r>
        <w:rPr>
          <w:rStyle w:val="a5"/>
          <w:sz w:val="36"/>
          <w:szCs w:val="36"/>
        </w:rPr>
        <w:footnoteReference w:id="11"/>
      </w:r>
    </w:p>
    <w:p>
      <w:pPr>
        <w:spacing w:after="140" w:line="340" w:lineRule="auto"/>
        <w:jc w:val="both"/>
      </w:pPr>
      <w:r>
        <w:rPr>
          <w:color w:val="1A1A1A"/>
          <w:sz w:val="36"/>
          <w:szCs w:val="36"/>
        </w:rPr>
        <w:t xml:space="preserve">فاجعَلوا هذه الموعظةَ نقطةَ تحوُّلٍ في صلاتِكم على رسولِكم ﷺ؛ واعلَموا أنّ كثرةَ الصلاةِ توفيقٌ من الله، وأنّ قلَّتَها علامةُ حِرمان. لا جعلَنا اللهُ وإياكم من المحرومين.</w:t>
      </w:r>
    </w:p>
    <w:p>
      <w:pPr>
        <w:spacing w:after="140" w:line="340" w:lineRule="auto"/>
        <w:jc w:val="both"/>
      </w:pPr>
      <w:r>
        <w:rPr>
          <w:color w:val="1A1A1A"/>
          <w:sz w:val="36"/>
          <w:szCs w:val="36"/>
        </w:rPr>
        <w:t xml:space="preserve">اللهم صلِّ وسلِّمْ وبارِكْ على عبدِك ونبيِّك وخليلِك محمدٍ وعلى آلِه وصحبِه أجمعين.</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عبادِك المستضعَفين؛ اجمَعْ كلمتَهم، ووحِّدْ صفَّهم، وآمِنْ رَوعاتِهم، واستُرْ عَوراتِهم، وداوِ جرحاهم، واشفِ مرضاهم. اللهم مُنزِلَ الكتاب، مُجرِيَ السحاب، هازمَ الأحزاب: اهزِمْ من اعتدى عليهم وانصُرْنا عليهم.</w:t>
      </w:r>
      <w:r>
        <w:rPr>
          <w:rStyle w:val="a5"/>
          <w:sz w:val="36"/>
          <w:szCs w:val="36"/>
        </w:rPr>
        <w:footnoteReference w:id="12"/>
      </w:r>
      <w:r>
        <w:rPr>
          <w:color w:val="1A1A1A"/>
          <w:sz w:val="36"/>
          <w:szCs w:val="36"/>
        </w:rPr>
        <w:t xml:space="preserve"> اللهم ارزُقْنا صلاةً في المسجدِ الأقصى؛ إنك على كلِّ شيءٍ قدير.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أبي العاليةِ ﵀؛ علَّقَه البخاريُّ في «صحيحه» في تفسيرِ سورةِ الأحزاب.</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والحاكمُ من حديث عبد الرحمن بن عوف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والنسائيُّ من حديث أنس بن مالك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وابنُ ماجه من حديث عامر بن ربيعة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بنِ كعبٍ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ابن مسعود ﵁، وحسَّنه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والنسائيُّ وابنُ ماجه من حديث أوسِ بنِ أوسٍ ﵁، وصححه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عليِّ بن أبي طالبٍ ﵁، وحسَّنه الألباني.</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وصححه الألباني.</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