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بَثُّ الأمَل</w:t>
      </w:r>
    </w:p>
    <w:p>
      <w:pPr>
        <w:spacing w:after="120"/>
      </w:pPr>
      <w:r>
        <w:rPr>
          <w:color w:val="8A6A1F"/>
          <w:sz w:val="36"/>
          <w:szCs w:val="36"/>
        </w:rPr>
        <w:t xml:space="preserve">الأملُ والتفاؤلُ في المجتمع: مواضعُه، ووسائلُ تعزيزِه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هذه الأمَّةُ لا تموت</w:t>
      </w:r>
    </w:p>
    <w:p>
      <w:pPr>
        <w:spacing w:after="140" w:line="340" w:lineRule="auto"/>
        <w:jc w:val="both"/>
      </w:pPr>
      <w:r>
        <w:rPr>
          <w:color w:val="1A1A1A"/>
          <w:sz w:val="36"/>
          <w:szCs w:val="36"/>
        </w:rPr>
        <w:t xml:space="preserve">وبعدُ، أحبَّتي في الله، معاشرَ المصلِّين: </w:t>
      </w:r>
      <w:r>
        <w:rPr>
          <w:b/>
          <w:bCs/>
          <w:color w:val="1F5C3A"/>
          <w:sz w:val="36"/>
          <w:szCs w:val="36"/>
        </w:rPr>
        <w:t xml:space="preserve">«ماذا أكتُب؟ أَأكتُبُ نَعْيَ الإسلامِ والمسلمين؟»</w:t>
      </w:r>
      <w:r>
        <w:rPr>
          <w:color w:val="1A1A1A"/>
          <w:sz w:val="36"/>
          <w:szCs w:val="36"/>
        </w:rPr>
        <w:t xml:space="preserve"> ـ هكذا قال ابنُ الأثيرِ ﵀ وهو يُؤرِّخُ لِمَا نزلَ بالأمَّةِ من التتار، وقد ظنَّ أنها بدايةُ النهاية.</w:t>
      </w:r>
      <w:r>
        <w:rPr>
          <w:rStyle w:val="a5"/>
          <w:sz w:val="36"/>
          <w:szCs w:val="36"/>
        </w:rPr>
        <w:footnoteReference w:id="1"/>
      </w:r>
    </w:p>
    <w:p>
      <w:pPr>
        <w:spacing w:after="140" w:line="340" w:lineRule="auto"/>
        <w:jc w:val="both"/>
      </w:pPr>
      <w:r>
        <w:rPr>
          <w:color w:val="1A1A1A"/>
          <w:sz w:val="36"/>
          <w:szCs w:val="36"/>
        </w:rPr>
        <w:t xml:space="preserve">فتمهَّلْ وكُنْ مُتفائلًا؛ فهذه الأمَّةُ لا تموت. ولا يزالُ في جَعبتِها من رجالٍ يُقيِّضُهم اللهُ لها في كلِّ زمان.</w:t>
      </w:r>
    </w:p>
    <w:p>
      <w:pPr>
        <w:spacing w:after="140" w:line="340" w:lineRule="auto"/>
        <w:jc w:val="both"/>
      </w:pPr>
      <w:r>
        <w:rPr>
          <w:color w:val="1A1A1A"/>
          <w:sz w:val="36"/>
          <w:szCs w:val="36"/>
        </w:rPr>
        <w:t xml:space="preserve">فحديثي عن عبادةٍ قلبيةٍ عظيمة، لا تصدُرُ إلا عن قلبٍ امتلأَ حُسنَ ظنٍّ بالله: إنه **التفاؤل** ـ وهو توقُّعُ الخير. فأُحدِّثُكم عن مواضعِه، وكيف نُعزِّزُه في القلوب.</w:t>
      </w:r>
    </w:p>
    <w:p>
      <w:pPr>
        <w:spacing w:before="260" w:after="120"/>
      </w:pPr>
      <w:r>
        <w:rPr>
          <w:b/>
          <w:bCs/>
          <w:color w:val="1F5C3A"/>
          <w:sz w:val="36"/>
          <w:szCs w:val="36"/>
        </w:rPr>
        <w:t xml:space="preserve">أولًا: مواضعُ التفاؤل</w:t>
      </w:r>
    </w:p>
    <w:p>
      <w:pPr>
        <w:spacing w:after="140" w:line="340" w:lineRule="auto"/>
        <w:jc w:val="both"/>
      </w:pPr>
      <w:r>
        <w:rPr>
          <w:color w:val="1A1A1A"/>
          <w:sz w:val="36"/>
          <w:szCs w:val="36"/>
        </w:rPr>
        <w:t xml:space="preserve">ينبغي أن يُصاحِبَ العبدَ في كلِّ شأنِه، ولكنّه يتأكَّدُ في مواضع.</w:t>
      </w:r>
    </w:p>
    <w:p>
      <w:pPr>
        <w:spacing w:before="200" w:after="100"/>
      </w:pPr>
      <w:r>
        <w:rPr>
          <w:b/>
          <w:bCs/>
          <w:color w:val="1A1A1A"/>
          <w:sz w:val="36"/>
          <w:szCs w:val="36"/>
        </w:rPr>
        <w:t xml:space="preserve">١) في مقامِ الشدَّةِ ومُواجَهةِ الأعداء</w:t>
      </w:r>
    </w:p>
    <w:p>
      <w:pPr>
        <w:spacing w:after="140" w:line="340" w:lineRule="auto"/>
        <w:jc w:val="both"/>
      </w:pPr>
      <w:r>
        <w:rPr>
          <w:color w:val="1A1A1A"/>
          <w:sz w:val="36"/>
          <w:szCs w:val="36"/>
        </w:rPr>
        <w:t xml:space="preserve">فمهما بلغَ ضَعفُ هذه الأمَّة، ينبغي أن تمتلئَ قلوبُنا تفاؤلًا بوعدِ اللهِ ونصرِه. تأمَّلوا كيف كان ﷺ متفائلًا في خيبر: رأى نفَرًا من أهلِها خرجوا بمساحيهم ومَكاتِلِهم، فلمّا رأَوا الجيشَ قالوا: محمدٌ والخَميس! فقال ﷺ:</w:t>
      </w:r>
    </w:p>
    <w:p>
      <w:pPr>
        <w:pBdr>
          <w:right w:val="single" w:sz="12" w:space="10" w:color="8A6A1F"/>
        </w:pBdr>
        <w:spacing w:before="120" w:after="160" w:line="320" w:lineRule="auto"/>
        <w:ind w:left="504" w:right="504"/>
        <w:jc w:val="both"/>
      </w:pPr>
      <w:r>
        <w:rPr>
          <w:b/>
          <w:bCs/>
          <w:color w:val="1F5C3A"/>
          <w:sz w:val="36"/>
          <w:szCs w:val="36"/>
        </w:rPr>
        <w:t xml:space="preserve">«اللهُ أكبر! خَرِبَتْ خيبر؛ إنّا إذا نزَلْنا بساحةِ قومٍ فساءَ صباحُ المُنذَرين»</w:t>
      </w:r>
      <w:r>
        <w:rPr>
          <w:rStyle w:val="a5"/>
          <w:sz w:val="36"/>
          <w:szCs w:val="36"/>
        </w:rPr>
        <w:footnoteReference w:id="2"/>
      </w:r>
    </w:p>
    <w:p>
      <w:pPr>
        <w:spacing w:after="140" w:line="340" w:lineRule="auto"/>
        <w:jc w:val="both"/>
      </w:pPr>
      <w:r>
        <w:rPr>
          <w:color w:val="1A1A1A"/>
          <w:sz w:val="36"/>
          <w:szCs w:val="36"/>
        </w:rPr>
        <w:t xml:space="preserve">وتأمَّلْ مشهدَ الأحزابِ حين </w:t>
      </w:r>
      <w:r>
        <w:rPr>
          <w:b/>
          <w:bCs/>
          <w:color w:val="8A6A1F"/>
          <w:sz w:val="36"/>
          <w:szCs w:val="36"/>
        </w:rPr>
        <w:t xml:space="preserve">﴿زُلْزِلُوا زِلْزَالًا شَدِيدًا﴾</w:t>
      </w:r>
      <w:r>
        <w:rPr>
          <w:color w:val="1A1A1A"/>
          <w:sz w:val="36"/>
          <w:szCs w:val="36"/>
        </w:rPr>
        <w:t xml:space="preserve">؛ وعرَضَتْ صخرةٌ في الخندق، فنزلَ إليها ﷺ فضربَ ثلاثَ ضربات، يُكبِّرُ مع كلِّ ضربةٍ ويُبشِّرُ بفتحِ الشامِ وفارسَ واليمن.</w:t>
      </w:r>
      <w:r>
        <w:rPr>
          <w:rStyle w:val="a5"/>
          <w:sz w:val="36"/>
          <w:szCs w:val="36"/>
        </w:rPr>
        <w:footnoteReference w:id="3"/>
      </w:r>
      <w:r>
        <w:rPr>
          <w:color w:val="1A1A1A"/>
          <w:sz w:val="36"/>
          <w:szCs w:val="36"/>
        </w:rPr>
        <w:t xml:space="preserve"> في أشدِّ ساعاتِ الخوفِ يُبشِّرُ بالفتوح!</w:t>
      </w:r>
    </w:p>
    <w:p>
      <w:pPr>
        <w:spacing w:after="140" w:line="340" w:lineRule="auto"/>
        <w:jc w:val="both"/>
      </w:pPr>
      <w:r>
        <w:rPr>
          <w:color w:val="1A1A1A"/>
          <w:sz w:val="36"/>
          <w:szCs w:val="36"/>
        </w:rPr>
        <w:t xml:space="preserve">فهكذا ينبغي أن تكونَ الأمَّة: في أحلَكِ الظروفِ ترى المِنَحَ وتقول: اللهُ أكبر. لا أن نيأَسَ فيصيرَ الحديثُ عن استردادِ المقدَّساتِ ضربًا من الخيال.</w:t>
      </w:r>
    </w:p>
    <w:p>
      <w:pPr>
        <w:spacing w:after="140" w:line="340" w:lineRule="auto"/>
        <w:jc w:val="both"/>
      </w:pPr>
      <w:r>
        <w:rPr>
          <w:color w:val="1A1A1A"/>
          <w:sz w:val="36"/>
          <w:szCs w:val="36"/>
        </w:rPr>
        <w:t xml:space="preserve">وفي </w:t>
      </w:r>
      <w:r>
        <w:rPr>
          <w:b/>
          <w:bCs/>
          <w:color w:val="1F5C3A"/>
          <w:sz w:val="36"/>
          <w:szCs w:val="36"/>
        </w:rPr>
        <w:t xml:space="preserve">«شَقْحَب»</w:t>
      </w:r>
      <w:r>
        <w:rPr>
          <w:color w:val="1A1A1A"/>
          <w:sz w:val="36"/>
          <w:szCs w:val="36"/>
        </w:rPr>
        <w:t xml:space="preserve"> ـ حين سيطرَ الخوفُ على الأمَّةِ من التتار ـ لم يكُنْ قلبُ شيخِ الإسلامِ ابنِ تيميةَ ﵀ يعرِفُ ذلك؛ فجهَّزَ وعبَّأَ وحرَّضَ، وقال: **إنّا مَنصورون عليهم**. فقيل له: قُلْ إن شاء الله. فقال: **</w:t>
      </w:r>
      <w:r>
        <w:rPr>
          <w:b/>
          <w:bCs/>
          <w:color w:val="1F5C3A"/>
          <w:sz w:val="36"/>
          <w:szCs w:val="36"/>
        </w:rPr>
        <w:t xml:space="preserve">«إن شاء اللهُ تحقيقًا لا تعليقًا»</w:t>
      </w:r>
      <w:r>
        <w:rPr>
          <w:color w:val="1A1A1A"/>
          <w:sz w:val="36"/>
          <w:szCs w:val="36"/>
        </w:rPr>
        <w:t xml:space="preserve">**؛ ثقةً بوعدِ اللهِ لا تألِّيًا عليه.</w:t>
      </w:r>
      <w:r>
        <w:rPr>
          <w:rStyle w:val="a5"/>
          <w:sz w:val="36"/>
          <w:szCs w:val="36"/>
        </w:rPr>
        <w:footnoteReference w:id="4"/>
      </w:r>
    </w:p>
    <w:p>
      <w:pPr>
        <w:spacing w:before="200" w:after="100"/>
      </w:pPr>
      <w:r>
        <w:rPr>
          <w:b/>
          <w:bCs/>
          <w:color w:val="1A1A1A"/>
          <w:sz w:val="36"/>
          <w:szCs w:val="36"/>
        </w:rPr>
        <w:t xml:space="preserve">٢) في مقامِ الدعوةِ إلى الله</w:t>
      </w:r>
    </w:p>
    <w:p>
      <w:pPr>
        <w:spacing w:after="140" w:line="340" w:lineRule="auto"/>
        <w:jc w:val="both"/>
      </w:pPr>
      <w:r>
        <w:rPr>
          <w:color w:val="1A1A1A"/>
          <w:sz w:val="36"/>
          <w:szCs w:val="36"/>
        </w:rPr>
        <w:t xml:space="preserve">يا معاشرَ المُصلِحين والمُربِّين والدعاة: إيّاكم واليأس! لا تنظُرْ إلى حجمِ المعاصي وكثرتِها؛ بل كُنْ عبدًا متفائلًا بأنّ اللهَ قال: </w:t>
      </w:r>
      <w:r>
        <w:rPr>
          <w:b/>
          <w:bCs/>
          <w:color w:val="8A6A1F"/>
          <w:sz w:val="36"/>
          <w:szCs w:val="36"/>
        </w:rPr>
        <w:t xml:space="preserve">﴿أَنَّ الْأَرْضَ يَرِثُهَا عِبَادِيَ الصَّالِحُونَ﴾</w:t>
      </w:r>
      <w:r>
        <w:rPr>
          <w:color w:val="1A1A1A"/>
          <w:sz w:val="36"/>
          <w:szCs w:val="36"/>
        </w:rPr>
        <w:t xml:space="preserve">.</w:t>
      </w:r>
    </w:p>
    <w:p>
      <w:pPr>
        <w:spacing w:after="140" w:line="340" w:lineRule="auto"/>
        <w:jc w:val="both"/>
      </w:pPr>
      <w:r>
        <w:rPr>
          <w:color w:val="1A1A1A"/>
          <w:sz w:val="36"/>
          <w:szCs w:val="36"/>
        </w:rPr>
        <w:t xml:space="preserve">فالأبُ والأمُّ اللذانِ يرجوانِ صلاحَ ذُرِّيَّتِهما قد يملأُ اليأسُ قلبَيهما حين ينظُرانِ إلى ما حولَهما فيقولان: ماذا نصنع؟ فأقول: انظُروا إلى حالِ النبيِّ ﷺ حين لقيَ ما لقيَ في مكةَ ثم في الطائف؛ ولو عرفَ اليأسَ لماتَتِ الدعوةُ في شِعابِ مكة.</w:t>
      </w:r>
    </w:p>
    <w:p>
      <w:pPr>
        <w:spacing w:after="140" w:line="340" w:lineRule="auto"/>
        <w:jc w:val="both"/>
      </w:pPr>
      <w:r>
        <w:rPr>
          <w:color w:val="1A1A1A"/>
          <w:sz w:val="36"/>
          <w:szCs w:val="36"/>
        </w:rPr>
        <w:t xml:space="preserve">واسمَعْ إلى قولِه ﷺ لِعَديِّ بنِ حاتمٍ ﵁ ـ كما في </w:t>
      </w:r>
      <w:r>
        <w:rPr>
          <w:b/>
          <w:bCs/>
          <w:color w:val="1F5C3A"/>
          <w:sz w:val="36"/>
          <w:szCs w:val="36"/>
        </w:rPr>
        <w:t xml:space="preserve">«صحيح البخاري»</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«يا عَدِيّ، هل رأيتَ الحِيرة؟»</w:t>
      </w:r>
      <w:r>
        <w:rPr>
          <w:b/>
          <w:bCs/>
          <w:color w:val="1F5C3A"/>
          <w:sz w:val="36"/>
          <w:szCs w:val="36"/>
        </w:rPr>
        <w:t xml:space="preserve"> قلتُ: لم أرَها وقد أُنبِئتُ عنها. قال: </w:t>
      </w:r>
      <w:r>
        <w:rPr>
          <w:b/>
          <w:bCs/>
          <w:color w:val="1F5C3A"/>
          <w:sz w:val="36"/>
          <w:szCs w:val="36"/>
        </w:rPr>
        <w:t xml:space="preserve">«فإن طالَتْ بك حياةٌ لَترَيَنَّ الظَّعينةَ ترتحِلُ من الحِيرةِ حتى تطوفَ بالكعبةِ لا تخافُ أحدًا إلا الله... ولئنْ طالَتْ بك حياةٌ لَتُفتَحَنَّ كنوزُ كِسرى»</w:t>
      </w:r>
    </w:p>
    <w:p>
      <w:pPr>
        <w:spacing w:after="140" w:line="340" w:lineRule="auto"/>
        <w:jc w:val="both"/>
      </w:pPr>
      <w:r>
        <w:rPr>
          <w:color w:val="1A1A1A"/>
          <w:sz w:val="36"/>
          <w:szCs w:val="36"/>
        </w:rPr>
        <w:t xml:space="preserve">يقولُ عَدِيّ: فرأيتُ الظَّعينةَ ترتحِلُ من الحِيرةِ حتى تطوفَ بالكعبةِ لا تخافُ إلا الله، وكنتُ فيمن افتتحَ كنوزَ كِسرى.</w:t>
      </w:r>
      <w:r>
        <w:rPr>
          <w:rStyle w:val="a5"/>
          <w:sz w:val="36"/>
          <w:szCs w:val="36"/>
        </w:rPr>
        <w:footnoteReference w:id="5"/>
      </w:r>
    </w:p>
    <w:p>
      <w:pPr>
        <w:spacing w:after="140" w:line="340" w:lineRule="auto"/>
        <w:jc w:val="both"/>
      </w:pPr>
      <w:r>
        <w:rPr>
          <w:color w:val="1A1A1A"/>
          <w:sz w:val="36"/>
          <w:szCs w:val="36"/>
        </w:rPr>
        <w:t xml:space="preserve">هذه هي قلوبُ الدعاة: لا تعرِفُ اليأسَ؛ تعلمُ أنها إن سارَتْ على الطريقِ فوصلَتْ فالحمدُ لله، وإن ماتَتْ على الطريقِ فقد ماتَتْ على خير. وكان الشيخُ الألبانيُّ ﵀ يستشهِدُ بقولِ الشاعر:</w:t>
      </w:r>
    </w:p>
    <w:p>
      <w:pPr>
        <w:pBdr>
          <w:right w:val="single" w:sz="12" w:space="10" w:color="8A6A1F"/>
        </w:pBdr>
        <w:spacing w:before="120" w:after="160" w:line="320" w:lineRule="auto"/>
        <w:ind w:left="504" w:right="504"/>
        <w:jc w:val="both"/>
      </w:pPr>
      <w:r>
        <w:rPr>
          <w:b/>
          <w:bCs/>
          <w:color w:val="1F5C3A"/>
          <w:sz w:val="36"/>
          <w:szCs w:val="36"/>
        </w:rPr>
        <w:t xml:space="preserve">فقلتُ له لا تَبكِ عينُك إنما ... نُحاوِلُ مُلكًا أو نموتَ فنُعذَرا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وسائلُ تعزيزِ التفاؤل</w:t>
      </w:r>
    </w:p>
    <w:p>
      <w:pPr>
        <w:spacing w:before="200" w:after="100"/>
      </w:pPr>
      <w:r>
        <w:rPr>
          <w:b/>
          <w:bCs/>
          <w:color w:val="1A1A1A"/>
          <w:sz w:val="36"/>
          <w:szCs w:val="36"/>
        </w:rPr>
        <w:t xml:space="preserve">١) مُجالَسةُ المتفائلين</w:t>
      </w:r>
    </w:p>
    <w:p>
      <w:pPr>
        <w:spacing w:after="140" w:line="340" w:lineRule="auto"/>
        <w:jc w:val="both"/>
      </w:pPr>
      <w:r>
        <w:rPr>
          <w:color w:val="1A1A1A"/>
          <w:sz w:val="36"/>
          <w:szCs w:val="36"/>
        </w:rPr>
        <w:t xml:space="preserve">فالحذَرَ من مُجالَسةِ من يُقنِّطُك؛ تدخُلُ عليه فتخرُجُ وأنت ترى أنّ الإصلاحَ ضربٌ من الخيال. فاجلِسْ مع من امتلأَتْ قلوبُهم أملًا ورجاءً بالله.</w:t>
      </w:r>
    </w:p>
    <w:p>
      <w:pPr>
        <w:spacing w:before="200" w:after="100"/>
      </w:pPr>
      <w:r>
        <w:rPr>
          <w:b/>
          <w:bCs/>
          <w:color w:val="1A1A1A"/>
          <w:sz w:val="36"/>
          <w:szCs w:val="36"/>
        </w:rPr>
        <w:t xml:space="preserve">٢) تغييرُ الألفاظ</w:t>
      </w:r>
    </w:p>
    <w:p>
      <w:pPr>
        <w:spacing w:after="140" w:line="340" w:lineRule="auto"/>
        <w:jc w:val="both"/>
      </w:pPr>
      <w:r>
        <w:rPr>
          <w:color w:val="1A1A1A"/>
          <w:sz w:val="36"/>
          <w:szCs w:val="36"/>
        </w:rPr>
        <w:t xml:space="preserve">فالنبيُّ ﷺ جاء ليَجتَثَّ ألفاظَ الشُّؤم؛ قال:</w:t>
      </w:r>
    </w:p>
    <w:p>
      <w:pPr>
        <w:pBdr>
          <w:right w:val="single" w:sz="12" w:space="10" w:color="8A6A1F"/>
        </w:pBdr>
        <w:spacing w:before="120" w:after="160" w:line="320" w:lineRule="auto"/>
        <w:ind w:left="504" w:right="504"/>
        <w:jc w:val="both"/>
      </w:pPr>
      <w:r>
        <w:rPr>
          <w:b/>
          <w:bCs/>
          <w:color w:val="1F5C3A"/>
          <w:sz w:val="36"/>
          <w:szCs w:val="36"/>
        </w:rPr>
        <w:t xml:space="preserve">«لا عَدْوى ولا طِيَرة، ويُعجِبُني الفَأْل»</w:t>
      </w:r>
      <w:r>
        <w:rPr>
          <w:b/>
          <w:bCs/>
          <w:color w:val="1F5C3A"/>
          <w:sz w:val="36"/>
          <w:szCs w:val="36"/>
        </w:rPr>
        <w:t xml:space="preserve">. قالوا: وما الفَأْل؟ قال: </w:t>
      </w:r>
      <w:r>
        <w:rPr>
          <w:b/>
          <w:bCs/>
          <w:color w:val="1F5C3A"/>
          <w:sz w:val="36"/>
          <w:szCs w:val="36"/>
        </w:rPr>
        <w:t xml:space="preserve">«كلمةٌ طيِّبة»</w:t>
      </w:r>
      <w:r>
        <w:rPr>
          <w:rStyle w:val="a5"/>
          <w:sz w:val="36"/>
          <w:szCs w:val="36"/>
        </w:rPr>
        <w:footnoteReference w:id="6"/>
      </w:r>
    </w:p>
    <w:p>
      <w:pPr>
        <w:spacing w:after="140" w:line="340" w:lineRule="auto"/>
        <w:jc w:val="both"/>
      </w:pPr>
      <w:r>
        <w:rPr>
          <w:color w:val="1A1A1A"/>
          <w:sz w:val="36"/>
          <w:szCs w:val="36"/>
        </w:rPr>
        <w:t xml:space="preserve">فحين يقعُ لك ما يقع، قُلْ خيرًا وارجُ من اللهِ خيرًا. واسمَعْ ما في </w:t>
      </w:r>
      <w:r>
        <w:rPr>
          <w:b/>
          <w:bCs/>
          <w:color w:val="1F5C3A"/>
          <w:sz w:val="36"/>
          <w:szCs w:val="36"/>
        </w:rPr>
        <w:t xml:space="preserve">«صحيح البخاري»</w:t>
      </w:r>
      <w:r>
        <w:rPr>
          <w:color w:val="1A1A1A"/>
          <w:sz w:val="36"/>
          <w:szCs w:val="36"/>
        </w:rPr>
        <w:t xml:space="preserve">: عادَ النبيُّ ﷺ أعرابيًّا فقال: **</w:t>
      </w:r>
      <w:r>
        <w:rPr>
          <w:b/>
          <w:bCs/>
          <w:color w:val="1F5C3A"/>
          <w:sz w:val="36"/>
          <w:szCs w:val="36"/>
        </w:rPr>
        <w:t xml:space="preserve">«لا بأس، طَهورٌ إن شاء الله»</w:t>
      </w:r>
      <w:r>
        <w:rPr>
          <w:color w:val="1A1A1A"/>
          <w:sz w:val="36"/>
          <w:szCs w:val="36"/>
        </w:rPr>
        <w:t xml:space="preserve">**. فقال: كلّا، بل هي حُمّى تفورُ على شيخٍ كبيرٍ تُزيرُه القبور! فقال ﷺ: **</w:t>
      </w:r>
      <w:r>
        <w:rPr>
          <w:b/>
          <w:bCs/>
          <w:color w:val="1F5C3A"/>
          <w:sz w:val="36"/>
          <w:szCs w:val="36"/>
        </w:rPr>
        <w:t xml:space="preserve">«فنعم إذًا»</w:t>
      </w:r>
      <w:r>
        <w:rPr>
          <w:color w:val="1A1A1A"/>
          <w:sz w:val="36"/>
          <w:szCs w:val="36"/>
        </w:rPr>
        <w:t xml:space="preserve">**؛ فأصبحَ مَيْتًا.</w:t>
      </w:r>
      <w:r>
        <w:rPr>
          <w:rStyle w:val="a5"/>
          <w:sz w:val="36"/>
          <w:szCs w:val="36"/>
        </w:rPr>
        <w:footnoteReference w:id="7"/>
      </w:r>
    </w:p>
    <w:p>
      <w:pPr>
        <w:spacing w:after="140" w:line="340" w:lineRule="auto"/>
        <w:jc w:val="both"/>
      </w:pPr>
      <w:r>
        <w:rPr>
          <w:color w:val="1A1A1A"/>
          <w:sz w:val="36"/>
          <w:szCs w:val="36"/>
        </w:rPr>
        <w:t xml:space="preserve">فمهما نزلَ بك من بلاءٍ فلا يُسمَعْ من لسانِك إلا خير.</w:t>
      </w:r>
    </w:p>
    <w:p>
      <w:pPr>
        <w:spacing w:before="200" w:after="100"/>
      </w:pPr>
      <w:r>
        <w:rPr>
          <w:b/>
          <w:bCs/>
          <w:color w:val="1A1A1A"/>
          <w:sz w:val="36"/>
          <w:szCs w:val="36"/>
        </w:rPr>
        <w:t xml:space="preserve">٣) تغييرُ القناعات</w:t>
      </w:r>
    </w:p>
    <w:p>
      <w:pPr>
        <w:spacing w:after="140" w:line="340" w:lineRule="auto"/>
        <w:jc w:val="both"/>
      </w:pPr>
      <w:r>
        <w:rPr>
          <w:color w:val="1A1A1A"/>
          <w:sz w:val="36"/>
          <w:szCs w:val="36"/>
        </w:rPr>
        <w:t xml:space="preserve">فبعضُنا لا يرى إلا الجانبَ المُظلِم؛ فغيِّرْ قناعتَك واحمَدْ على ما بقي. وقد قال اللهُ في الحديثِ القدسي:</w:t>
      </w:r>
    </w:p>
    <w:p>
      <w:pPr>
        <w:pBdr>
          <w:right w:val="single" w:sz="12" w:space="10" w:color="8A6A1F"/>
        </w:pBdr>
        <w:spacing w:before="120" w:after="160" w:line="320" w:lineRule="auto"/>
        <w:ind w:left="504" w:right="504"/>
        <w:jc w:val="both"/>
      </w:pPr>
      <w:r>
        <w:rPr>
          <w:b/>
          <w:bCs/>
          <w:color w:val="1F5C3A"/>
          <w:sz w:val="36"/>
          <w:szCs w:val="36"/>
        </w:rPr>
        <w:t xml:space="preserve">«أنا عند ظنِّ عبدي بي؛ فليَظُنَّ بي ما شاء»</w:t>
      </w:r>
      <w:r>
        <w:rPr>
          <w:rStyle w:val="a5"/>
          <w:sz w:val="36"/>
          <w:szCs w:val="36"/>
        </w:rPr>
        <w:footnoteReference w:id="8"/>
      </w:r>
    </w:p>
    <w:p>
      <w:pPr>
        <w:spacing w:before="200" w:after="100"/>
      </w:pPr>
      <w:r>
        <w:rPr>
          <w:b/>
          <w:bCs/>
          <w:color w:val="1A1A1A"/>
          <w:sz w:val="36"/>
          <w:szCs w:val="36"/>
        </w:rPr>
        <w:t xml:space="preserve">٤) الانشغالُ بالعمل</w:t>
      </w:r>
    </w:p>
    <w:p>
      <w:pPr>
        <w:spacing w:after="140" w:line="340" w:lineRule="auto"/>
        <w:jc w:val="both"/>
      </w:pPr>
      <w:r>
        <w:rPr>
          <w:color w:val="1A1A1A"/>
          <w:sz w:val="36"/>
          <w:szCs w:val="36"/>
        </w:rPr>
        <w:t xml:space="preserve">لا بالتحليلِ ولا بالبكاءِ على الأطلال. قال ﷺ:</w:t>
      </w:r>
    </w:p>
    <w:p>
      <w:pPr>
        <w:pBdr>
          <w:right w:val="single" w:sz="12" w:space="10" w:color="8A6A1F"/>
        </w:pBdr>
        <w:spacing w:before="120" w:after="160" w:line="320" w:lineRule="auto"/>
        <w:ind w:left="504" w:right="504"/>
        <w:jc w:val="both"/>
      </w:pPr>
      <w:r>
        <w:rPr>
          <w:b/>
          <w:bCs/>
          <w:color w:val="1F5C3A"/>
          <w:sz w:val="36"/>
          <w:szCs w:val="36"/>
        </w:rPr>
        <w:t xml:space="preserve">«إن قامتِ الساعةُ وفي يدِ أحدِكم فَسيلةٌ فإنِ استطاعَ ألّا تقومَ حتى يَغرِسَها فليَغرِسْها»</w:t>
      </w:r>
      <w:r>
        <w:rPr>
          <w:rStyle w:val="a5"/>
          <w:sz w:val="36"/>
          <w:szCs w:val="36"/>
        </w:rPr>
        <w:footnoteReference w:id="9"/>
      </w:r>
    </w:p>
    <w:p>
      <w:pPr>
        <w:spacing w:after="140" w:line="340" w:lineRule="auto"/>
        <w:jc w:val="both"/>
      </w:pPr>
      <w:r>
        <w:rPr>
          <w:color w:val="1A1A1A"/>
          <w:sz w:val="36"/>
          <w:szCs w:val="36"/>
        </w:rPr>
        <w:t xml:space="preserve">يَغرِسُها والساعةُ قائمة! فماذا قدَّمتَ أنت لصلاحِ نفسِك وأهلِك ولنفعِ أمَّتِك؟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العليَّ الأعلى ربَّ العرشِ العظيمِ أن يملأَ قلوبَنا حُسنَ ظنٍّ به وتوكُّلًا ورجاءً وتفاؤلًا؛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مقالةٌ مشهورةٌ لابنِ الأثيرِ ﵀ في «الكامل في التاريخ» عند ذِكرِه خروجَ التتار.</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 و«الخَميس»: الجيش.</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النسائيُّ وأحمدُ من حديث البراءِ بنِ عازبٍ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شيخِ الإسلامِ ابنِ تيميةَ ﵀ في وقعةِ شَقْحَب؛ ذكرَها ابنُ كثيرٍ في «البداية والنهاية» وابنُ عبد الهادي في «العقود الدرية».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عَدِيِّ بن حاتم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حبان والحاكمُ من حديث واثِلةَ بنِ الأسقعِ ﵁، وصححه الألباني. وأصلُه في «الصحيحين»: «أنا عند ظنِّ عبدي بي».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والبخاريُّ في «الأدب المفرد» من حديث أنس بن مالك ﵁،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