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«اتَّقِ المحارمَ تكُنْ أعبدَ الناس»</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أسبابُ الوقوع في الذنوب وعلاجُها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مَن أعبدُ الناس؟</w:t>
      </w:r>
      <w:r>
        <w:rPr>
          <w:rFonts w:ascii="Traditional Arabic" w:cs="Traditional Arabic" w:eastAsia="Traditional Arabic" w:hAnsi="Traditional Arabic"/>
          <w:b w:val="false"/>
          <w:bCs w:val="false"/>
          <w:i w:val="false"/>
          <w:iCs w:val="false"/>
          <w:sz w:val="28"/>
          <w:szCs w:val="28"/>
          <w:rtl/>
        </w:rPr>
        <w:t xml:space="preserve"> بحثتُ وفتّشت، ونظرتُ في حال المصلّين الصائمين القانتين المتصدّقين — </w:t>
      </w:r>
      <w:r>
        <w:rPr>
          <w:rFonts w:ascii="Traditional Arabic" w:cs="Traditional Arabic" w:eastAsia="Traditional Arabic" w:hAnsi="Traditional Arabic"/>
          <w:b/>
          <w:bCs/>
          <w:i w:val="false"/>
          <w:iCs w:val="false"/>
          <w:sz w:val="28"/>
          <w:szCs w:val="28"/>
          <w:rtl/>
        </w:rPr>
        <w:t xml:space="preserve">حتى وقفتُ على حديثٍ بديع</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«اتَّقِ المحارمَ تكُنْ أعبدَ الناس، وارضَ بما قسم اللهُ لك تكُنْ أغنى الناس»</w:t>
      </w:r>
      <w:r>
        <w:rPr>
          <w:rStyle w:val="FootnoteReference"/>
        </w:rPr>
        <w:footnoteReference w:id="4"/>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أعِدْ عليّ! </w:t>
      </w:r>
      <w:r>
        <w:rPr>
          <w:rFonts w:ascii="Traditional Arabic" w:cs="Traditional Arabic" w:eastAsia="Traditional Arabic" w:hAnsi="Traditional Arabic"/>
          <w:b/>
          <w:bCs/>
          <w:i w:val="false"/>
          <w:iCs w:val="false"/>
          <w:sz w:val="28"/>
          <w:szCs w:val="28"/>
          <w:rtl/>
        </w:rPr>
        <w:t xml:space="preserve">اتَّقِ المحارمَ تكُنْ أعبدَ الناس</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فكيف أكون أعبدَ الناس وأنا واقعٌ في المحارم؟</w:t>
      </w:r>
      <w:r>
        <w:rPr>
          <w:rFonts w:ascii="Traditional Arabic" w:cs="Traditional Arabic" w:eastAsia="Traditional Arabic" w:hAnsi="Traditional Arabic"/>
          <w:b w:val="false"/>
          <w:bCs w:val="false"/>
          <w:i w:val="false"/>
          <w:iCs w:val="false"/>
          <w:sz w:val="28"/>
          <w:szCs w:val="28"/>
          <w:rtl/>
        </w:rPr>
        <w:t xml:space="preserve"> أنظرُ إلى الحرام، وآكلُ الحرام، وأسمعُ الحرام، وأمشي إلى الحرام! </w:t>
      </w:r>
      <w:r>
        <w:rPr>
          <w:rFonts w:ascii="Traditional Arabic" w:cs="Traditional Arabic" w:eastAsia="Traditional Arabic" w:hAnsi="Traditional Arabic"/>
          <w:b/>
          <w:bCs/>
          <w:i w:val="false"/>
          <w:iCs w:val="false"/>
          <w:sz w:val="28"/>
          <w:szCs w:val="28"/>
          <w:rtl/>
        </w:rPr>
        <w:t xml:space="preserve">فحديثنا عن أسباب الوقوع في الذنوب، وكيف النجاةُ منها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ولا بدّ أوّلًا من تقرير حقيقة: </w:t>
      </w:r>
      <w:r>
        <w:rPr>
          <w:rFonts w:ascii="Traditional Arabic" w:cs="Traditional Arabic" w:eastAsia="Traditional Arabic" w:hAnsi="Traditional Arabic"/>
          <w:b/>
          <w:bCs/>
          <w:i w:val="false"/>
          <w:iCs w:val="false"/>
          <w:sz w:val="28"/>
          <w:szCs w:val="28"/>
          <w:rtl/>
        </w:rPr>
        <w:t xml:space="preserve">أنّنا كلَّنا عبادٌ نُقصِّر ونُذنب</w:t>
      </w:r>
      <w:r>
        <w:rPr>
          <w:rFonts w:ascii="Traditional Arabic" w:cs="Traditional Arabic" w:eastAsia="Traditional Arabic" w:hAnsi="Traditional Arabic"/>
          <w:b w:val="false"/>
          <w:bCs w:val="false"/>
          <w:i w:val="false"/>
          <w:iCs w:val="false"/>
          <w:sz w:val="28"/>
          <w:szCs w:val="28"/>
          <w:rtl/>
        </w:rPr>
        <w:t xml:space="preserve">؛ قال ﷺ: «كلُّ بني آدمَ خطّاء، وخيرُ الخطّائين التوّابون»</w:t>
      </w:r>
      <w:r>
        <w:rPr>
          <w:rStyle w:val="FootnoteReference"/>
        </w:rPr>
        <w:footnoteReference w:id="5"/>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أسبابُ الوقوع في الذنوب</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عدمُ تعظيم الله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القلبَ إن لم يُعظِّم اللهَ فأيُّ رادعٍ يحجزه؟ </w:t>
      </w:r>
      <w:r>
        <w:rPr>
          <w:rFonts w:ascii="Traditional Arabic" w:cs="Traditional Arabic" w:eastAsia="Traditional Arabic" w:hAnsi="Traditional Arabic"/>
          <w:b/>
          <w:bCs/>
          <w:i w:val="false"/>
          <w:iCs w:val="false"/>
          <w:sz w:val="28"/>
          <w:szCs w:val="28"/>
          <w:rtl/>
        </w:rPr>
        <w:t xml:space="preserve">إنّ العباد اليوم إذا عظّموا بشرًا — بل نظامًا أو جهةً — اتّقَوا ما نهى عنه!</w:t>
      </w:r>
      <w:r>
        <w:rPr>
          <w:rFonts w:ascii="Traditional Arabic" w:cs="Traditional Arabic" w:eastAsia="Traditional Arabic" w:hAnsi="Traditional Arabic"/>
          <w:b w:val="false"/>
          <w:bCs w:val="false"/>
          <w:i w:val="false"/>
          <w:iCs w:val="false"/>
          <w:sz w:val="28"/>
          <w:szCs w:val="28"/>
          <w:rtl/>
        </w:rPr>
        <w:t xml:space="preserve"> لأنّهم قدّروه حقَّ قدره. </w:t>
      </w:r>
      <w:r>
        <w:rPr>
          <w:rFonts w:ascii="Traditional Arabic" w:cs="Traditional Arabic" w:eastAsia="Traditional Arabic" w:hAnsi="Traditional Arabic"/>
          <w:b/>
          <w:bCs/>
          <w:i w:val="false"/>
          <w:iCs w:val="false"/>
          <w:sz w:val="28"/>
          <w:szCs w:val="28"/>
          <w:rtl/>
        </w:rPr>
        <w:t xml:space="preserve">وأمّا نحن فنُذنب لأنّا ما قدّرنا اللهَ حقَّ قدره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فأنت حين تعصي — أتدري مَن تعصي؟</w:t>
      </w:r>
      <w:r>
        <w:rPr>
          <w:rFonts w:ascii="Traditional Arabic" w:cs="Traditional Arabic" w:eastAsia="Traditional Arabic" w:hAnsi="Traditional Arabic"/>
          <w:b w:val="false"/>
          <w:bCs w:val="false"/>
          <w:i w:val="false"/>
          <w:iCs w:val="false"/>
          <w:sz w:val="28"/>
          <w:szCs w:val="28"/>
          <w:rtl/>
        </w:rPr>
        <w:t xml:space="preserve"> إنّك تعصي اللهَ الذي </w:t>
      </w:r>
      <w:r>
        <w:rPr>
          <w:rFonts w:ascii="Traditional Arabic" w:cs="Traditional Arabic" w:eastAsia="Traditional Arabic" w:hAnsi="Traditional Arabic"/>
          <w:b/>
          <w:bCs/>
          <w:i w:val="false"/>
          <w:iCs w:val="false"/>
          <w:sz w:val="28"/>
          <w:szCs w:val="28"/>
          <w:rtl/>
        </w:rPr>
        <w:t xml:space="preserve">﴿وَالْأَرْضُ جَمِيعًا قَبْضَتُهُ يَوْمَ الْقِيَامَةِ وَالسَّمَاوَاتُ مَطْوِيَّاتٌ بِيَمِينِهِ﴾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فإذا أردتَ أن تترك ذنبًا فعظِّمِ اللهَ الذي حرّمه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تغليبُ جانب الرحمة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يأتي الواحدُ الكبائرَ من أوسع أبوابها ثم يتّكئ على رحمة الله وكأنّه لم يفعل شيئًا! </w:t>
      </w:r>
      <w:r>
        <w:rPr>
          <w:rFonts w:ascii="Traditional Arabic" w:cs="Traditional Arabic" w:eastAsia="Traditional Arabic" w:hAnsi="Traditional Arabic"/>
          <w:b/>
          <w:bCs/>
          <w:i w:val="false"/>
          <w:iCs w:val="false"/>
          <w:sz w:val="28"/>
          <w:szCs w:val="28"/>
          <w:rtl/>
        </w:rPr>
        <w:t xml:space="preserve">والذي قال عن نفسه إنّه الغفورُ الرحيم قال في السياق نفسِه: ﴿نَبِّئْ عِبَادِي أَنِّي أَنَا الْغَفُورُ الرَّحِيمُ • وَأَنَّ عَذَابِي هُوَ الْعَذَابُ الْأَلِيمُ﴾</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فإيّاك أن تكون كذلك المغرور الذي يُردِّد:</w:t>
      </w:r>
    </w:p>
    <w:p>
      <w:pPr>
        <w:bidi/>
        <w:spacing w:after="130" w:line="365"/>
        <w:jc w:val="center"/>
      </w:pPr>
      <w:r>
        <w:rPr>
          <w:rFonts w:ascii="Traditional Arabic" w:cs="Traditional Arabic" w:eastAsia="Traditional Arabic" w:hAnsi="Traditional Arabic"/>
          <w:b/>
          <w:bCs/>
          <w:i w:val="false"/>
          <w:iCs w:val="false"/>
          <w:sz w:val="28"/>
          <w:szCs w:val="28"/>
          <w:rtl/>
        </w:rPr>
        <w:t xml:space="preserve">فَأَكْثِرْ ما اسْتَطَعْتَ مِنَ الخَطايا ••• إذا كانَ القُدومُ على كَريمِ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فهذا قلبٌ </w:t>
      </w:r>
      <w:r>
        <w:rPr>
          <w:rFonts w:ascii="Traditional Arabic" w:cs="Traditional Arabic" w:eastAsia="Traditional Arabic" w:hAnsi="Traditional Arabic"/>
          <w:b/>
          <w:bCs/>
          <w:i w:val="false"/>
          <w:iCs w:val="false"/>
          <w:sz w:val="28"/>
          <w:szCs w:val="28"/>
          <w:rtl/>
        </w:rPr>
        <w:t xml:space="preserve">لا يعلم أنّ امرأةً دخلت النارَ في هِرّة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والعبدُ يطير إلى الله بجناحَي الخوف والرجاء؛ فالرجاءُ وحدَه مُهلِك، والخوفُ وحدَه مُهلِك</w:t>
      </w:r>
      <w:r>
        <w:rPr>
          <w:rFonts w:ascii="Traditional Arabic" w:cs="Traditional Arabic" w:eastAsia="Traditional Arabic" w:hAnsi="Traditional Arabic"/>
          <w:b w:val="false"/>
          <w:bCs w:val="false"/>
          <w:i w:val="false"/>
          <w:iCs w:val="false"/>
          <w:sz w:val="28"/>
          <w:szCs w:val="28"/>
          <w:rtl/>
        </w:rPr>
        <w:t xml:space="preserve">. وقال ﷺ فيما يرويه: </w:t>
      </w:r>
      <w:r>
        <w:rPr>
          <w:rFonts w:ascii="Traditional Arabic" w:cs="Traditional Arabic" w:eastAsia="Traditional Arabic" w:hAnsi="Traditional Arabic"/>
          <w:b/>
          <w:bCs/>
          <w:i w:val="false"/>
          <w:iCs w:val="false"/>
          <w:sz w:val="28"/>
          <w:szCs w:val="28"/>
          <w:rtl/>
        </w:rPr>
        <w:t xml:space="preserve">«وعِزّتي لا أجمعُ لعبدي أمنَين ولا خوفَين: إن أمِنَني في الدنيا أخفتُه يوم أجمعُ عبادي، وإن خافني في الدنيا أمّنتُه يوم أجمعُ عبادي»</w:t>
      </w:r>
      <w:r>
        <w:rPr>
          <w:rStyle w:val="FootnoteReference"/>
        </w:rPr>
        <w:footnoteReference w:id="6"/>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تأخُّرُ العقوبة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فالعبدُ الغافلُ يظنُّ أنّ العقوبةَ ما نزلت؛ </w:t>
      </w:r>
      <w:r>
        <w:rPr>
          <w:rFonts w:ascii="Traditional Arabic" w:cs="Traditional Arabic" w:eastAsia="Traditional Arabic" w:hAnsi="Traditional Arabic"/>
          <w:b/>
          <w:bCs/>
          <w:i w:val="false"/>
          <w:iCs w:val="false"/>
          <w:sz w:val="28"/>
          <w:szCs w:val="28"/>
          <w:rtl/>
        </w:rPr>
        <w:t xml:space="preserve">يُذنب ثم يُذنب فيزداد مالُه ويكثُر عيالُه ويترقّى في جاهه — فلا يرى أثرًا!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وواللهِ إنّ العقوبةَ معجَّلةٌ ولكنّك لا تدري</w:t>
      </w:r>
      <w:r>
        <w:rPr>
          <w:rFonts w:ascii="Traditional Arabic" w:cs="Traditional Arabic" w:eastAsia="Traditional Arabic" w:hAnsi="Traditional Arabic"/>
          <w:b w:val="false"/>
          <w:bCs w:val="false"/>
          <w:i w:val="false"/>
          <w:iCs w:val="false"/>
          <w:sz w:val="28"/>
          <w:szCs w:val="28"/>
          <w:rtl/>
        </w:rPr>
        <w:t xml:space="preserve">؛ فقد تكون مسخًا وخسفًا وقذفًا — </w:t>
      </w:r>
      <w:r>
        <w:rPr>
          <w:rFonts w:ascii="Traditional Arabic" w:cs="Traditional Arabic" w:eastAsia="Traditional Arabic" w:hAnsi="Traditional Arabic"/>
          <w:b/>
          <w:bCs/>
          <w:i w:val="false"/>
          <w:iCs w:val="false"/>
          <w:sz w:val="28"/>
          <w:szCs w:val="28"/>
          <w:rtl/>
        </w:rPr>
        <w:t xml:space="preserve">لكن في القلب لا في الأرض!</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إنّنا معذَّبون ولكنّا لا نستشعر: </w:t>
      </w:r>
      <w:r>
        <w:rPr>
          <w:rFonts w:ascii="Traditional Arabic" w:cs="Traditional Arabic" w:eastAsia="Traditional Arabic" w:hAnsi="Traditional Arabic"/>
          <w:b/>
          <w:bCs/>
          <w:i w:val="false"/>
          <w:iCs w:val="false"/>
          <w:sz w:val="28"/>
          <w:szCs w:val="28"/>
          <w:rtl/>
        </w:rPr>
        <w:t xml:space="preserve">ضاع خشوعُنا، وضيّعنا روحَ الصلاة، وكبّلتنا الأغلالُ عن قيام الليل، وتمرُّ الأيامُ فلا نتصدّق بشقِّ تمرة</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فهذه عقوبةٌ يا مسكين! قلبُك مُكبَّل، خُسِف به ومُسِخ وأنت لا تدري</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وكان السلفُ يقولون: </w:t>
      </w:r>
      <w:r>
        <w:rPr>
          <w:rFonts w:ascii="Traditional Arabic" w:cs="Traditional Arabic" w:eastAsia="Traditional Arabic" w:hAnsi="Traditional Arabic"/>
          <w:b/>
          <w:bCs/>
          <w:i w:val="false"/>
          <w:iCs w:val="false"/>
          <w:sz w:val="28"/>
          <w:szCs w:val="28"/>
          <w:rtl/>
        </w:rPr>
        <w:t xml:space="preserve">ليست اللعنةُ سوادًا في الوجه، ولا أن تُمسَخ قردًا وخنزيرًا؛ ولكنّ اللعنةَ أن تعمل الذنبَ ثم تظلَّ عليه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فأعظمُ عقوبةٍ أن يترُكَك اللهُ على الذنب</w:t>
      </w:r>
      <w:r>
        <w:rPr>
          <w:rFonts w:ascii="Traditional Arabic" w:cs="Traditional Arabic" w:eastAsia="Traditional Arabic" w:hAnsi="Traditional Arabic"/>
          <w:b w:val="false"/>
          <w:bCs w:val="false"/>
          <w:i w:val="false"/>
          <w:iCs w:val="false"/>
          <w:sz w:val="28"/>
          <w:szCs w:val="28"/>
          <w:rtl/>
        </w:rPr>
        <w:t xml:space="preserve">؛ لا تزال إلى اليوم على غِيبتك ونميمتك، لا تزال على مسكرك، لا تزال قاطعًا لرحمك — </w:t>
      </w:r>
      <w:r>
        <w:rPr>
          <w:rFonts w:ascii="Traditional Arabic" w:cs="Traditional Arabic" w:eastAsia="Traditional Arabic" w:hAnsi="Traditional Arabic"/>
          <w:b/>
          <w:bCs/>
          <w:i w:val="false"/>
          <w:iCs w:val="false"/>
          <w:sz w:val="28"/>
          <w:szCs w:val="28"/>
          <w:rtl/>
        </w:rPr>
        <w:t xml:space="preserve">إنّك معاقَبٌ يا مسكين!</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٤) سهولةُ الوصول إلى الذنب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ففي الزمن الأوّل </w:t>
      </w:r>
      <w:r>
        <w:rPr>
          <w:rFonts w:ascii="Traditional Arabic" w:cs="Traditional Arabic" w:eastAsia="Traditional Arabic" w:hAnsi="Traditional Arabic"/>
          <w:b/>
          <w:bCs/>
          <w:i w:val="false"/>
          <w:iCs w:val="false"/>
          <w:sz w:val="28"/>
          <w:szCs w:val="28"/>
          <w:rtl/>
        </w:rPr>
        <w:t xml:space="preserve">كان المذنبُ يُسافر حتى يُذنب؛ أمّا اليوم فكلُّ شيءٍ في جهازك في جيبك!</w:t>
      </w:r>
      <w:r>
        <w:rPr>
          <w:rFonts w:ascii="Traditional Arabic" w:cs="Traditional Arabic" w:eastAsia="Traditional Arabic" w:hAnsi="Traditional Arabic"/>
          <w:b w:val="false"/>
          <w:bCs w:val="false"/>
          <w:i w:val="false"/>
          <w:iCs w:val="false"/>
          <w:sz w:val="28"/>
          <w:szCs w:val="28"/>
          <w:rtl/>
        </w:rPr>
        <w:t xml:space="preserve"> فإن لم نتّقِ اللهَ ونستشعِرْ أنّ هذا الذنبَ الذي صار سهلًا هو عند الله عظيم، فإنّنا سنلِجُ أبوابًا من النيران.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٥) وأختمُ الأسباب بـ</w:t>
      </w:r>
      <w:r>
        <w:rPr>
          <w:rFonts w:ascii="Traditional Arabic" w:cs="Traditional Arabic" w:eastAsia="Traditional Arabic" w:hAnsi="Traditional Arabic"/>
          <w:b/>
          <w:bCs/>
          <w:i w:val="false"/>
          <w:iCs w:val="false"/>
          <w:sz w:val="28"/>
          <w:szCs w:val="28"/>
          <w:rtl/>
        </w:rPr>
        <w:t xml:space="preserve">العَلمانيّة الخفيّة</w:t>
      </w:r>
      <w:r>
        <w:rPr>
          <w:rFonts w:ascii="Traditional Arabic" w:cs="Traditional Arabic" w:eastAsia="Traditional Arabic" w:hAnsi="Traditional Arabic"/>
          <w:b w:val="false"/>
          <w:bCs w:val="false"/>
          <w:i w:val="false"/>
          <w:iCs w:val="false"/>
          <w:sz w:val="28"/>
          <w:szCs w:val="28"/>
          <w:rtl/>
        </w:rPr>
        <w:t xml:space="preserve">: فإذا تقاطعت الشريعةُ مع مصالحنا قدّمنا مصالحَنا! </w:t>
      </w:r>
      <w:r>
        <w:rPr>
          <w:rFonts w:ascii="Traditional Arabic" w:cs="Traditional Arabic" w:eastAsia="Traditional Arabic" w:hAnsi="Traditional Arabic"/>
          <w:b/>
          <w:bCs/>
          <w:i w:val="false"/>
          <w:iCs w:val="false"/>
          <w:sz w:val="28"/>
          <w:szCs w:val="28"/>
          <w:rtl/>
        </w:rPr>
        <w:t xml:space="preserve">فإمّا أن تكون عبدًا لله، وإمّا أن تكون عبدًا لهواك وشهوتك ورغبتك</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العلاج</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أولًا: الصلاة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فما ذاق عبدٌ حلاوةَ الإيمان وابتعد عن الذنوب إلا لمّا لزِم محرابَ الصلاة. قال تعالى: </w:t>
      </w:r>
      <w:r>
        <w:rPr>
          <w:rFonts w:ascii="Traditional Arabic" w:cs="Traditional Arabic" w:eastAsia="Traditional Arabic" w:hAnsi="Traditional Arabic"/>
          <w:b/>
          <w:bCs/>
          <w:i w:val="false"/>
          <w:iCs w:val="false"/>
          <w:sz w:val="28"/>
          <w:szCs w:val="28"/>
          <w:rtl/>
        </w:rPr>
        <w:t xml:space="preserve">﴿إِنَّ الصَّلَاةَ تَنْهَىٰ عَنِ الْفَحْشَاءِ وَالْمُنكَرِ﴾</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ولو كنتَ غارقًا فإنّ صلاتَك ستنهاك يومًا ما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فإنّها نهرٌ غَمْرٌ تغتسل منه، ومحطّاتُ تزوُّدٍ إيمانيٍّ خمسَ مرّاتٍ في اليوم</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ثانيًا: ألّا تستصغِرَ الذنب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يقول أبو سعيدٍ الخدريُّ ﵁ مخاطبًا التابعين: </w:t>
      </w:r>
      <w:r>
        <w:rPr>
          <w:rFonts w:ascii="Traditional Arabic" w:cs="Traditional Arabic" w:eastAsia="Traditional Arabic" w:hAnsi="Traditional Arabic"/>
          <w:b/>
          <w:bCs/>
          <w:i w:val="false"/>
          <w:iCs w:val="false"/>
          <w:sz w:val="28"/>
          <w:szCs w:val="28"/>
          <w:rtl/>
        </w:rPr>
        <w:t xml:space="preserve">إنّكم لَتعملون أعمالًا هي أدقُّ في أعينكم من الشعر، كنّا نعدُّها على عهد رسول الله ﷺ من المُوبِقات</w:t>
      </w:r>
      <w:r>
        <w:rPr>
          <w:rStyle w:val="FootnoteReference"/>
        </w:rPr>
        <w:footnoteReference w:id="7"/>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فكيف لو أطلَّ علينا فرأى ما نصنع اليوم؟!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ويقول ﷺ: </w:t>
      </w:r>
      <w:r>
        <w:rPr>
          <w:rFonts w:ascii="Traditional Arabic" w:cs="Traditional Arabic" w:eastAsia="Traditional Arabic" w:hAnsi="Traditional Arabic"/>
          <w:b/>
          <w:bCs/>
          <w:i w:val="false"/>
          <w:iCs w:val="false"/>
          <w:sz w:val="28"/>
          <w:szCs w:val="28"/>
          <w:rtl/>
        </w:rPr>
        <w:t xml:space="preserve">«إيّاكم ومُحقَّراتِ الذنوب؛ فإنّهنّ يجتمعن على الرجل حتى يُهلِكْنه»</w:t>
      </w:r>
      <w:r>
        <w:rPr>
          <w:rStyle w:val="FootnoteReference"/>
        </w:rPr>
        <w:footnoteReference w:id="8"/>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وقد ضرب ﷺ لذلك مثلًا؛ فقد نزل بأرضٍ قَفْرٍ فقال لأصحابه: </w:t>
      </w:r>
      <w:r>
        <w:rPr>
          <w:rFonts w:ascii="Traditional Arabic" w:cs="Traditional Arabic" w:eastAsia="Traditional Arabic" w:hAnsi="Traditional Arabic"/>
          <w:b/>
          <w:bCs/>
          <w:i w:val="false"/>
          <w:iCs w:val="false"/>
          <w:sz w:val="28"/>
          <w:szCs w:val="28"/>
          <w:rtl/>
        </w:rPr>
        <w:t xml:space="preserve">ائتوني بحطب!</w:t>
      </w:r>
      <w:r>
        <w:rPr>
          <w:rFonts w:ascii="Traditional Arabic" w:cs="Traditional Arabic" w:eastAsia="Traditional Arabic" w:hAnsi="Traditional Arabic"/>
          <w:b w:val="false"/>
          <w:bCs w:val="false"/>
          <w:i w:val="false"/>
          <w:iCs w:val="false"/>
          <w:sz w:val="28"/>
          <w:szCs w:val="28"/>
          <w:rtl/>
        </w:rPr>
        <w:t xml:space="preserve"> فقالوا: أرضٌ قَفْرٌ ما بها من حطب. ثم جعلوا يأتون بالعود والعُظَيم </w:t>
      </w:r>
      <w:r>
        <w:rPr>
          <w:rFonts w:ascii="Traditional Arabic" w:cs="Traditional Arabic" w:eastAsia="Traditional Arabic" w:hAnsi="Traditional Arabic"/>
          <w:b/>
          <w:bCs/>
          <w:i w:val="false"/>
          <w:iCs w:val="false"/>
          <w:sz w:val="28"/>
          <w:szCs w:val="28"/>
          <w:rtl/>
        </w:rPr>
        <w:t xml:space="preserve">حتى جمعوا سوادًا وركامًا</w:t>
      </w:r>
      <w:r>
        <w:rPr>
          <w:rFonts w:ascii="Traditional Arabic" w:cs="Traditional Arabic" w:eastAsia="Traditional Arabic" w:hAnsi="Traditional Arabic"/>
          <w:b w:val="false"/>
          <w:bCs w:val="false"/>
          <w:i w:val="false"/>
          <w:iCs w:val="false"/>
          <w:sz w:val="28"/>
          <w:szCs w:val="28"/>
          <w:rtl/>
        </w:rPr>
        <w:t xml:space="preserve">؛ فقال ﷺ: </w:t>
      </w:r>
      <w:r>
        <w:rPr>
          <w:rFonts w:ascii="Traditional Arabic" w:cs="Traditional Arabic" w:eastAsia="Traditional Arabic" w:hAnsi="Traditional Arabic"/>
          <w:b/>
          <w:bCs/>
          <w:i w:val="false"/>
          <w:iCs w:val="false"/>
          <w:sz w:val="28"/>
          <w:szCs w:val="28"/>
          <w:rtl/>
        </w:rPr>
        <w:t xml:space="preserve">«هكذا تجتمعُ الذنوبُ على الرجل»</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ويُصوِّر عبدُ الله بنُ مسعودٍ ﵁ الفرقَ فيقول: </w:t>
      </w:r>
      <w:r>
        <w:rPr>
          <w:rFonts w:ascii="Traditional Arabic" w:cs="Traditional Arabic" w:eastAsia="Traditional Arabic" w:hAnsi="Traditional Arabic"/>
          <w:b/>
          <w:bCs/>
          <w:i w:val="false"/>
          <w:iCs w:val="false"/>
          <w:sz w:val="28"/>
          <w:szCs w:val="28"/>
          <w:rtl/>
        </w:rPr>
        <w:t xml:space="preserve">إنّ المؤمنَ يرى ذنوبَه كأنّه قاعدٌ تحت جبلٍ يخاف أن يقع عليه، وإنّ الفاجرَ يرى ذنوبَه كذبابٍ مرَّ على أنفه فقال به هكذا</w:t>
      </w:r>
      <w:r>
        <w:rPr>
          <w:rFonts w:ascii="Traditional Arabic" w:cs="Traditional Arabic" w:eastAsia="Traditional Arabic" w:hAnsi="Traditional Arabic"/>
          <w:b w:val="false"/>
          <w:bCs w:val="false"/>
          <w:i w:val="false"/>
          <w:iCs w:val="false"/>
          <w:sz w:val="28"/>
          <w:szCs w:val="28"/>
          <w:rtl/>
        </w:rPr>
        <w:t xml:space="preserve">. رواه البخاري. </w:t>
      </w:r>
      <w:r>
        <w:rPr>
          <w:rFonts w:ascii="Traditional Arabic" w:cs="Traditional Arabic" w:eastAsia="Traditional Arabic" w:hAnsi="Traditional Arabic"/>
          <w:b/>
          <w:bCs/>
          <w:i w:val="false"/>
          <w:iCs w:val="false"/>
          <w:sz w:val="28"/>
          <w:szCs w:val="28"/>
          <w:rtl/>
        </w:rPr>
        <w:t xml:space="preserve">فانظُرْ لنفسك: أأنتَ ممّن يُقلِقُه الذنبُ ويُزعجه فيندم؟ فأبشِرْ بخير. أم تفعل الذنوبَ تِلوَ الذنوب وقلبُك لا يتحرّك؟ فأحسن اللهُ عزاءك في قلبك</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يعصمني وإيّاكم من الذنوب كلِّها كبيرِها وصغيرها، وأن يغفر لنا ويتجاوز عنّا.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الخبرُ في ترجمة أبي زُرعة الرازي عند الذهبي في «سير أعلام النبلاء» وابن أبي حاتم في «الجرح والتعديل». وأمّا الحديثُ فرواه أبو داود (٣١١٦) والحاكم من حديث معاذ ﵁، وصحّحه الألباني في «صحيح أبي داود» (٢٦٧٣) و«صحيح الجامع» (٦٤٧٩).</w:t>
      </w:r>
    </w:p>
  </w:footnote>
  <w:footnote w:id="2">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النسائي (١٩٥٣) وابن حبان والحاكم من حديث شدّاد بن الهاد ﵁، وصحّحه الألباني في «صحيح سنن النسائي» و«أحكام الجنائز» (ص٤٦).</w:t>
      </w:r>
    </w:p>
  </w:footnote>
  <w:footnote w:id="3">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أمّ سلمة ﵂ وغيره، وصحّحه الألباني في «صحيح الجامع» (٣٧٩٦) و«السلسلة الصحيحة» (١٩٠٨).</w:t>
      </w:r>
    </w:p>
  </w:footnote>
  <w:footnote w:id="4">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والترمذي (٢٣٠٥) والبيهقي في «الشعب» من حديث أبي هريرة ﵁، وحسّنه الألباني في «صحيح الجامع» (١٠٠) و«السلسلة الصحيحة» (٩٣٠).</w:t>
      </w:r>
    </w:p>
  </w:footnote>
  <w:footnote w:id="5">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(٢٤٩٩) وابن ماجه من حديث أنسٍ ﵁، وحسّنه الألباني في «صحيح الجامع» (٤٥١٥).</w:t>
      </w:r>
    </w:p>
  </w:footnote>
  <w:footnote w:id="6">
    <w:p>
      <w:pPr>
        <w:bidi/>
        <w:jc w:val="right"/>
      </w:pPr>
      <w:r>
        <w:rPr>
          <w:rStyle w:val="FootnoteReference"/>
        </w:rPr>
        <w:footnoteRef/>
      </w:r>
      <w:r>
        <w:rPr>
          <w:rFonts w:ascii="Traditional Arabic" w:cs="Traditional Arabic" w:eastAsia="Traditional Arabic" w:hAnsi="Traditional Arabic"/>
          <w:sz w:val="20"/>
          <w:szCs w:val="20"/>
          <w:rtl/>
        </w:rPr>
        <w:t xml:space="preserve">رواه ابن حبّان والبيهقي في «الشعب» من حديث أبي هريرة ﵁، وحسّنه الألباني في «صحيح الجامع» (٤٣٣٢) و«السلسلة الصحيحة» (٧٤٢).</w:t>
      </w:r>
    </w:p>
  </w:footnote>
  <w:footnote w:id="7">
    <w:p>
      <w:pPr>
        <w:bidi/>
        <w:jc w:val="right"/>
      </w:pPr>
      <w:r>
        <w:rPr>
          <w:rStyle w:val="FootnoteReference"/>
        </w:rPr>
        <w:footnoteRef/>
      </w:r>
      <w:r>
        <w:rPr>
          <w:rFonts w:ascii="Traditional Arabic" w:cs="Traditional Arabic" w:eastAsia="Traditional Arabic" w:hAnsi="Traditional Arabic"/>
          <w:sz w:val="20"/>
          <w:szCs w:val="20"/>
          <w:rtl/>
        </w:rPr>
        <w:t xml:space="preserve">رواه البخاري في «صحيحه» بلفظ: «إنّكم لَتعملون أعمالًا هي أدقُّ في أعينكم من الشعر، كنّا نعدُّها على عهد النبيّ ﷺ من المُوبِقات» — من حديث أنسٍ ﵁.</w:t>
      </w:r>
    </w:p>
  </w:footnote>
  <w:footnote w:id="8">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(١/٤٠٢) والطبراني من حديث ابن مسعودٍ ﵁، وصحّحه الألباني في «صحيح الجامع» (٢٦٨٦) و«السلسلة الصحيحة» (٣٨٩).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«اتَّقِ المحارمَ تكُنْ أعبدَ الناس»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2026-08-01T16:40:57.124Z</dcterms:created>
  <dcterms:modified xsi:type="dcterms:W3CDTF">2026-08-01T16:40:57.124Z</dcterms:modified>
</cp:coreProperties>
</file>

<file path=docProps/custom.xml><?xml version="1.0" encoding="utf-8"?>
<Properties xmlns="http://schemas.openxmlformats.org/officeDocument/2006/custom-properties" xmlns:vt="http://schemas.openxmlformats.org/officeDocument/2006/docPropsVTypes"/>
</file>