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60" w:before="200" w:line="360"/>
        <w:jc w:val="right"/>
      </w:pPr>
      <w:r>
        <w:rPr>
          <w:rFonts w:ascii="Traditional Arabic" w:cs="Traditional Arabic" w:eastAsia="Traditional Arabic" w:hAnsi="Traditional Arabic"/>
          <w:b w:val="false"/>
          <w:bCs w:val="false"/>
          <w:i w:val="false"/>
          <w:iCs w:val="false"/>
          <w:color w:val="8A6F4E"/>
          <w:sz w:val="24"/>
          <w:szCs w:val="24"/>
          <w:rtl/>
        </w:rPr>
        <w:t xml:space="preserve">الخطبة </w:t>
      </w:r>
    </w:p>
    <w:p>
      <w:pPr>
        <w:pBdr>
          <w:bottom w:val="single" w:color="5B3A29" w:sz="12" w:space="8"/>
        </w:pBdr>
        <w:bidi/>
        <w:spacing w:after="60" w:line="380"/>
        <w:jc w:val="right"/>
      </w:pPr>
      <w:r>
        <w:rPr>
          <w:rFonts w:ascii="Traditional Arabic" w:cs="Traditional Arabic" w:eastAsia="Traditional Arabic" w:hAnsi="Traditional Arabic"/>
          <w:b/>
          <w:bCs/>
          <w:i w:val="false"/>
          <w:iCs w:val="false"/>
          <w:color w:val="5B3A29"/>
          <w:sz w:val="40"/>
          <w:szCs w:val="40"/>
          <w:rtl/>
        </w:rPr>
        <w:t xml:space="preserve">الاستغفار: فضائلُ وثمار</w:t>
      </w:r>
    </w:p>
    <w:p>
      <w:pPr>
        <w:bidi/>
        <w:spacing w:after="240" w:line="340"/>
        <w:jc w:val="right"/>
      </w:pPr>
      <w:r>
        <w:rPr>
          <w:rFonts w:ascii="Traditional Arabic" w:cs="Traditional Arabic" w:eastAsia="Traditional Arabic" w:hAnsi="Traditional Arabic"/>
          <w:b w:val="false"/>
          <w:bCs w:val="false"/>
          <w:i w:val="false"/>
          <w:iCs w:val="false"/>
          <w:color w:val="6B6B6B"/>
          <w:sz w:val="24"/>
          <w:szCs w:val="24"/>
          <w:rtl/>
        </w:rPr>
        <w:t xml:space="preserve">لماذا يُحبَس عنّا المطر؟</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ﷺ. ﴿يَا أَيُّهَا الَّذِينَ آمَنُوا اتَّقُوا اللَّهَ حَقَّ تُقَاتِهِ وَلَا تَمُوتُنَّ إِلَّا وَأَنتُم مُّسْلِمُونَ﴾. أمّا بعدُ، فإنّ أصدقَ الحديثِ كتابُ الله، وخيرَ الهَدْيِ هديُ محمدٍ ﷺ، وشرَّ الأمورِ محدثاتُها، وكلَّ محدثةٍ بدعة، وكلَّ بدعةٍ ضلالة، وكلَّ ضلالةٍ في النار.</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الأولى</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وبعدُ، أحبتي في الله: </w:t>
      </w:r>
      <w:r>
        <w:rPr>
          <w:rFonts w:ascii="Traditional Arabic" w:cs="Traditional Arabic" w:eastAsia="Traditional Arabic" w:hAnsi="Traditional Arabic"/>
          <w:b/>
          <w:bCs/>
          <w:i w:val="false"/>
          <w:iCs w:val="false"/>
          <w:sz w:val="28"/>
          <w:szCs w:val="28"/>
          <w:rtl/>
        </w:rPr>
        <w:t xml:space="preserve">أجدبت أرضُ قلبِه فكبّلته الأغلال، كما أجدبت أرضُ زرعه</w:t>
      </w:r>
      <w:r>
        <w:rPr>
          <w:rFonts w:ascii="Traditional Arabic" w:cs="Traditional Arabic" w:eastAsia="Traditional Arabic" w:hAnsi="Traditional Arabic"/>
          <w:b w:val="false"/>
          <w:bCs w:val="false"/>
          <w:i w:val="false"/>
          <w:iCs w:val="false"/>
          <w:sz w:val="28"/>
          <w:szCs w:val="28"/>
          <w:rtl/>
        </w:rPr>
        <w:t xml:space="preserve">؛ فطفِق على وجهه هائمًا يبحث عن ساقيةٍ تروي ظمأَ قلبه فيُنبِت الإيمان، وعن أخرى تُنبِت أرضَ زرعه. </w:t>
      </w:r>
      <w:r>
        <w:rPr>
          <w:rFonts w:ascii="Traditional Arabic" w:cs="Traditional Arabic" w:eastAsia="Traditional Arabic" w:hAnsi="Traditional Arabic"/>
          <w:b/>
          <w:bCs/>
          <w:i w:val="false"/>
          <w:iCs w:val="false"/>
          <w:sz w:val="28"/>
          <w:szCs w:val="28"/>
          <w:rtl/>
        </w:rPr>
        <w:t xml:space="preserve">يبحث ها هنا وها هنا ولا يجد إلى الماء سبيلًا</w:t>
      </w:r>
      <w:r>
        <w:rPr>
          <w:rFonts w:ascii="Traditional Arabic" w:cs="Traditional Arabic" w:eastAsia="Traditional Arabic" w:hAnsi="Traditional Arabic"/>
          <w:b w:val="false"/>
          <w:bCs w:val="false"/>
          <w:i w:val="false"/>
          <w:iCs w:val="false"/>
          <w:sz w:val="28"/>
          <w:szCs w:val="28"/>
          <w:rtl/>
        </w:rPr>
        <w:t xml:space="preserve">.</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هل أدلُّك على بوّابة الماء؟ </w:t>
      </w:r>
      <w:r>
        <w:rPr>
          <w:rFonts w:ascii="Traditional Arabic" w:cs="Traditional Arabic" w:eastAsia="Traditional Arabic" w:hAnsi="Traditional Arabic"/>
          <w:b/>
          <w:bCs/>
          <w:i w:val="false"/>
          <w:iCs w:val="false"/>
          <w:sz w:val="28"/>
          <w:szCs w:val="28"/>
          <w:rtl/>
        </w:rPr>
        <w:t xml:space="preserve">إنّها بوّابةُ الاستغفار — ماءُ الحياة للقلب وللأرض</w:t>
      </w:r>
      <w:r>
        <w:rPr>
          <w:rFonts w:ascii="Traditional Arabic" w:cs="Traditional Arabic" w:eastAsia="Traditional Arabic" w:hAnsi="Traditional Arabic"/>
          <w:b w:val="false"/>
          <w:bCs w:val="false"/>
          <w:i w:val="false"/>
          <w:iCs w:val="false"/>
          <w:sz w:val="28"/>
          <w:szCs w:val="28"/>
          <w:rtl/>
        </w:rPr>
        <w:t xml:space="preserve">.</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أولًا: لماذا نستغفر؟</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كأنّك تقول: أنا مصلٍّ صائم، حججتُ واعتمرت، قرأتُ وتلوت — </w:t>
      </w:r>
      <w:r>
        <w:rPr>
          <w:rFonts w:ascii="Traditional Arabic" w:cs="Traditional Arabic" w:eastAsia="Traditional Arabic" w:hAnsi="Traditional Arabic"/>
          <w:b/>
          <w:bCs/>
          <w:i w:val="false"/>
          <w:iCs w:val="false"/>
          <w:sz w:val="28"/>
          <w:szCs w:val="28"/>
          <w:rtl/>
        </w:rPr>
        <w:t xml:space="preserve">فلِمَ أستغفر؟</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١) خوفًا من ذنوبٍ اقترفتَها فنسيتَها</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أوَلا تذكر تلك الكلمات التي أكلتَ بها لحومَ المسلمين؟ أو نسيتَ تلك النظرات؟ أو تلك الدراهم التي دخلتها شائبةُ الربا؟ </w:t>
      </w:r>
      <w:r>
        <w:rPr>
          <w:rFonts w:ascii="Traditional Arabic" w:cs="Traditional Arabic" w:eastAsia="Traditional Arabic" w:hAnsi="Traditional Arabic"/>
          <w:b/>
          <w:bCs/>
          <w:i w:val="false"/>
          <w:iCs w:val="false"/>
          <w:sz w:val="28"/>
          <w:szCs w:val="28"/>
          <w:rtl/>
        </w:rPr>
        <w:t xml:space="preserve">إنّك خطّاءٌ مُذنب؛ قال ﷺ: «كلُّ بني آدمَ خطّاء»</w:t>
      </w:r>
      <w:r>
        <w:rPr>
          <w:rStyle w:val="FootnoteReference"/>
        </w:rPr>
        <w:footnoteReference w:id="10"/>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نُذنب بالليل والنهار ولا نطرُقُ بوّابةَ الاستغفار — لأنّنا لا نخاف من الذنوب!</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وتأمّلْ حال الأنبياء: </w:t>
      </w:r>
      <w:r>
        <w:rPr>
          <w:rFonts w:ascii="Traditional Arabic" w:cs="Traditional Arabic" w:eastAsia="Traditional Arabic" w:hAnsi="Traditional Arabic"/>
          <w:b/>
          <w:bCs/>
          <w:i w:val="false"/>
          <w:iCs w:val="false"/>
          <w:sz w:val="28"/>
          <w:szCs w:val="28"/>
          <w:rtl/>
        </w:rPr>
        <w:t xml:space="preserve">آدمُ ﵇ استغفر وظلّ خائفًا من ذنبه إلى يوم المحشر</w:t>
      </w:r>
      <w:r>
        <w:rPr>
          <w:rFonts w:ascii="Traditional Arabic" w:cs="Traditional Arabic" w:eastAsia="Traditional Arabic" w:hAnsi="Traditional Arabic"/>
          <w:b w:val="false"/>
          <w:bCs w:val="false"/>
          <w:i w:val="false"/>
          <w:iCs w:val="false"/>
          <w:sz w:val="28"/>
          <w:szCs w:val="28"/>
          <w:rtl/>
        </w:rPr>
        <w:t xml:space="preserve"> — فيُقال له يومئذٍ: أما ترى ما نحن فيه؟ فيقول: </w:t>
      </w:r>
      <w:r>
        <w:rPr>
          <w:rFonts w:ascii="Traditional Arabic" w:cs="Traditional Arabic" w:eastAsia="Traditional Arabic" w:hAnsi="Traditional Arabic"/>
          <w:b/>
          <w:bCs/>
          <w:i w:val="false"/>
          <w:iCs w:val="false"/>
          <w:sz w:val="28"/>
          <w:szCs w:val="28"/>
          <w:rtl/>
        </w:rPr>
        <w:t xml:space="preserve">«إنّي أذنبتُ ذنبًا»</w:t>
      </w:r>
      <w:r>
        <w:rPr>
          <w:rFonts w:ascii="Traditional Arabic" w:cs="Traditional Arabic" w:eastAsia="Traditional Arabic" w:hAnsi="Traditional Arabic"/>
          <w:b w:val="false"/>
          <w:bCs w:val="false"/>
          <w:i w:val="false"/>
          <w:iCs w:val="false"/>
          <w:sz w:val="28"/>
          <w:szCs w:val="28"/>
          <w:rtl/>
        </w:rPr>
        <w:t xml:space="preserve">. وإبراهيمُ الخليلُ ﵇ سطّر اللهُ قوله: </w:t>
      </w:r>
      <w:r>
        <w:rPr>
          <w:rFonts w:ascii="Traditional Arabic" w:cs="Traditional Arabic" w:eastAsia="Traditional Arabic" w:hAnsi="Traditional Arabic"/>
          <w:b/>
          <w:bCs/>
          <w:i w:val="false"/>
          <w:iCs w:val="false"/>
          <w:sz w:val="28"/>
          <w:szCs w:val="28"/>
          <w:rtl/>
        </w:rPr>
        <w:t xml:space="preserve">﴿وَالَّذِي أَطْمَعُ أَن يَغْفِرَ لِي خَطِيئَتِي يَوْمَ الدِّينِ﴾</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وأيُّ خطيئةٍ لإبراهيم — يا من تُمارس الحرام؟!</w:t>
      </w:r>
      <w:r>
        <w:rPr>
          <w:rFonts w:ascii="Traditional Arabic" w:cs="Traditional Arabic" w:eastAsia="Traditional Arabic" w:hAnsi="Traditional Arabic"/>
          <w:b w:val="false"/>
          <w:bCs w:val="false"/>
          <w:i w:val="false"/>
          <w:iCs w:val="false"/>
          <w:sz w:val="28"/>
          <w:szCs w:val="28"/>
          <w:rtl/>
        </w:rPr>
        <w:t xml:space="preserve"> وكان نبيُّنا ﷺ يستغفر في المجلس الواحد أكثرَ من سبعين مرّة.</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٢) قطعًا للعُجب بالعمل</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فقد أُعجَب بحسناتي: أنا من المصلّين، حججتُ واعتمرت، وأتصدّق وأنفق — </w:t>
      </w:r>
      <w:r>
        <w:rPr>
          <w:rFonts w:ascii="Traditional Arabic" w:cs="Traditional Arabic" w:eastAsia="Traditional Arabic" w:hAnsi="Traditional Arabic"/>
          <w:b/>
          <w:bCs/>
          <w:i w:val="false"/>
          <w:iCs w:val="false"/>
          <w:sz w:val="28"/>
          <w:szCs w:val="28"/>
          <w:rtl/>
        </w:rPr>
        <w:t xml:space="preserve">فيتسلّل العُجبُ إلى قلبي فيقتله</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فيأتي الاستغفارُ ليقول لك: أنت عبدٌ مقصِّرٌ مهما بلغت حسناتُك</w:t>
      </w:r>
      <w:r>
        <w:rPr>
          <w:rFonts w:ascii="Traditional Arabic" w:cs="Traditional Arabic" w:eastAsia="Traditional Arabic" w:hAnsi="Traditional Arabic"/>
          <w:b w:val="false"/>
          <w:bCs w:val="false"/>
          <w:i w:val="false"/>
          <w:iCs w:val="false"/>
          <w:sz w:val="28"/>
          <w:szCs w:val="28"/>
          <w:rtl/>
        </w:rPr>
        <w:t xml:space="preserve">. ألم تسأل نفسك: لِمَ تُصلّي ثم أوّلُ ما يجري على لسانك: </w:t>
      </w:r>
      <w:r>
        <w:rPr>
          <w:rFonts w:ascii="Traditional Arabic" w:cs="Traditional Arabic" w:eastAsia="Traditional Arabic" w:hAnsi="Traditional Arabic"/>
          <w:b/>
          <w:bCs/>
          <w:i w:val="false"/>
          <w:iCs w:val="false"/>
          <w:sz w:val="28"/>
          <w:szCs w:val="28"/>
          <w:rtl/>
        </w:rPr>
        <w:t xml:space="preserve">أستغفرُ الله، أستغفرُ الله، أستغفرُ الله؟</w:t>
      </w:r>
      <w:r>
        <w:rPr>
          <w:rFonts w:ascii="Traditional Arabic" w:cs="Traditional Arabic" w:eastAsia="Traditional Arabic" w:hAnsi="Traditional Arabic"/>
          <w:b w:val="false"/>
          <w:bCs w:val="false"/>
          <w:i w:val="false"/>
          <w:iCs w:val="false"/>
          <w:sz w:val="28"/>
          <w:szCs w:val="28"/>
          <w:rtl/>
        </w:rPr>
        <w:t xml:space="preserve"> ولِمَ تُفيض من عرفةَ فتُؤمر: </w:t>
      </w:r>
      <w:r>
        <w:rPr>
          <w:rFonts w:ascii="Traditional Arabic" w:cs="Traditional Arabic" w:eastAsia="Traditional Arabic" w:hAnsi="Traditional Arabic"/>
          <w:b/>
          <w:bCs/>
          <w:i w:val="false"/>
          <w:iCs w:val="false"/>
          <w:sz w:val="28"/>
          <w:szCs w:val="28"/>
          <w:rtl/>
        </w:rPr>
        <w:t xml:space="preserve">﴿ثُمَّ أَفِيضُوا مِنْ حَيْثُ أَفَاضَ النَّاسُ وَاسْتَغْفِرُوا اللَّهَ﴾</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إنّها رسالةٌ إلهيّةٌ إلى البشريّة أنّنا مقصِّرون</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وقد جاء أبو بكرٍ ﵁ فقال: يا رسولَ الله، علِّمني دعاءً أدعو به في صلاتي. فقال: </w:t>
      </w:r>
      <w:r>
        <w:rPr>
          <w:rFonts w:ascii="Traditional Arabic" w:cs="Traditional Arabic" w:eastAsia="Traditional Arabic" w:hAnsi="Traditional Arabic"/>
          <w:b/>
          <w:bCs/>
          <w:i w:val="false"/>
          <w:iCs w:val="false"/>
          <w:sz w:val="28"/>
          <w:szCs w:val="28"/>
          <w:rtl/>
        </w:rPr>
        <w:t xml:space="preserve">«قُلِ: اللهمّ إنّي ظلمتُ نفسي ظلمًا كثيرًا، ولا يغفرُ الذنوبَ إلا أنت، فاغفِرْ لي مغفرةً من عندك، وارحمني إنّك أنت الغفورُ الرحيم»</w:t>
      </w:r>
      <w:r>
        <w:rPr>
          <w:rFonts w:ascii="Traditional Arabic" w:cs="Traditional Arabic" w:eastAsia="Traditional Arabic" w:hAnsi="Traditional Arabic"/>
          <w:b w:val="false"/>
          <w:bCs w:val="false"/>
          <w:i w:val="false"/>
          <w:iCs w:val="false"/>
          <w:sz w:val="28"/>
          <w:szCs w:val="28"/>
          <w:rtl/>
        </w:rPr>
        <w:t xml:space="preserve">. متفقٌ عليه. </w:t>
      </w:r>
      <w:r>
        <w:rPr>
          <w:rFonts w:ascii="Traditional Arabic" w:cs="Traditional Arabic" w:eastAsia="Traditional Arabic" w:hAnsi="Traditional Arabic"/>
          <w:b/>
          <w:bCs/>
          <w:i w:val="false"/>
          <w:iCs w:val="false"/>
          <w:sz w:val="28"/>
          <w:szCs w:val="28"/>
          <w:rtl/>
        </w:rPr>
        <w:t xml:space="preserve">فأيُّ ظلمٍ ظلمه أبو بكر حتى يُعلَّم هذا الدعاء؟!</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وقال الحسنُ البصريُّ ﵀ كلمةً اجعلها اختبارًا لقلبك: </w:t>
      </w:r>
      <w:r>
        <w:rPr>
          <w:rFonts w:ascii="Traditional Arabic" w:cs="Traditional Arabic" w:eastAsia="Traditional Arabic" w:hAnsi="Traditional Arabic"/>
          <w:b/>
          <w:bCs/>
          <w:i w:val="false"/>
          <w:iCs w:val="false"/>
          <w:sz w:val="28"/>
          <w:szCs w:val="28"/>
          <w:rtl/>
        </w:rPr>
        <w:t xml:space="preserve">إنّ المؤمنَ جمَعَ إحسانًا وشفَقة، وإنّ المنافقَ جمَعَ إساءةً وأمْنًا</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فأعطيك مثالًا: كلَّ ليلةٍ قبل أن تنام تُشاهد ما حرّم الله، ثم تضع جوّالك عند رأسك وتنام قريرَ العين — فقد جمعتَ إساءةً وأمنًا!</w:t>
      </w:r>
      <w:r>
        <w:rPr>
          <w:rFonts w:ascii="Traditional Arabic" w:cs="Traditional Arabic" w:eastAsia="Traditional Arabic" w:hAnsi="Traditional Arabic"/>
          <w:b w:val="false"/>
          <w:bCs w:val="false"/>
          <w:i w:val="false"/>
          <w:iCs w:val="false"/>
          <w:sz w:val="28"/>
          <w:szCs w:val="28"/>
          <w:rtl/>
        </w:rPr>
        <w:t xml:space="preserve"> واللهُ </w:t>
      </w:r>
      <w:r>
        <w:rPr>
          <w:rFonts w:ascii="Traditional Arabic" w:cs="Traditional Arabic" w:eastAsia="Traditional Arabic" w:hAnsi="Traditional Arabic"/>
          <w:b/>
          <w:bCs/>
          <w:i w:val="false"/>
          <w:iCs w:val="false"/>
          <w:sz w:val="28"/>
          <w:szCs w:val="28"/>
          <w:rtl/>
        </w:rPr>
        <w:t xml:space="preserve">﴿يَتَوَفَّى الْأَنفُسَ حِينَ مَوْتِهَا﴾</w:t>
      </w:r>
      <w:r>
        <w:rPr>
          <w:rFonts w:ascii="Traditional Arabic" w:cs="Traditional Arabic" w:eastAsia="Traditional Arabic" w:hAnsi="Traditional Arabic"/>
          <w:b w:val="false"/>
          <w:bCs w:val="false"/>
          <w:i w:val="false"/>
          <w:iCs w:val="false"/>
          <w:sz w:val="28"/>
          <w:szCs w:val="28"/>
          <w:rtl/>
        </w:rPr>
        <w:t xml:space="preserve"> — فقد لا ترجعُ إليك روحُك.</w:t>
      </w:r>
    </w:p>
    <w:p>
      <w:pPr>
        <w:bidi/>
        <w:spacing w:after="180" w:line="365"/>
        <w:jc w:val="right"/>
      </w:pPr>
      <w:r>
        <w:rPr>
          <w:rFonts w:ascii="Traditional Arabic" w:cs="Traditional Arabic" w:eastAsia="Traditional Arabic" w:hAnsi="Traditional Arabic"/>
          <w:b w:val="false"/>
          <w:bCs w:val="false"/>
          <w:i w:val="false"/>
          <w:iCs w:val="false"/>
          <w:sz w:val="28"/>
          <w:szCs w:val="28"/>
          <w:rtl/>
        </w:rPr>
        <w:t xml:space="preserve">باركَ اللهُ لي ولكم بالقرآنِ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الثانية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الحمدُ لله وكفى، والصلاةُ والسلامُ على النبيِّ المصطفى، وعلى آلِه وصحبِه ومَن سار على دربِه وسنّتَه اقتفى.</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ثانيًا: ثمراتُ الاستغفار</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١) جلاءُ القلوب</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فإنّ قلبَ العبد في أوحال الدنيا يتلطّخ؛ قال ﷺ: </w:t>
      </w:r>
      <w:r>
        <w:rPr>
          <w:rFonts w:ascii="Traditional Arabic" w:cs="Traditional Arabic" w:eastAsia="Traditional Arabic" w:hAnsi="Traditional Arabic"/>
          <w:b/>
          <w:bCs/>
          <w:i w:val="false"/>
          <w:iCs w:val="false"/>
          <w:sz w:val="28"/>
          <w:szCs w:val="28"/>
          <w:rtl/>
        </w:rPr>
        <w:t xml:space="preserve">«تُعرَضُ الفتنُ على القلوب كالحصير عُودًا عُودًا؛ فأيُّ قلبٍ أُشرِبها نُكِتَ فيه نُكتةٌ سوداء، وأيُّ قلبٍ أنكرها نُكِتَ فيه نُكتةٌ بيضاء — حتى تصير على قلبين: أبيضَ مثلِ الصَّفا فلا تضرُّه فتنةٌ ما دامت السماواتُ والأرض، والآخرُ أسودَ مُربادًّا كالكوز مُجَخِّيًا: لا يعرف معروفًا ولا يُنكِرُ منكرًا»</w:t>
      </w:r>
      <w:r>
        <w:rPr>
          <w:rFonts w:ascii="Traditional Arabic" w:cs="Traditional Arabic" w:eastAsia="Traditional Arabic" w:hAnsi="Traditional Arabic"/>
          <w:b w:val="false"/>
          <w:bCs w:val="false"/>
          <w:i w:val="false"/>
          <w:iCs w:val="false"/>
          <w:sz w:val="28"/>
          <w:szCs w:val="28"/>
          <w:rtl/>
        </w:rPr>
        <w:t xml:space="preserve">. رواه مسلم. </w:t>
      </w:r>
      <w:r>
        <w:rPr>
          <w:rFonts w:ascii="Traditional Arabic" w:cs="Traditional Arabic" w:eastAsia="Traditional Arabic" w:hAnsi="Traditional Arabic"/>
          <w:b/>
          <w:bCs/>
          <w:i w:val="false"/>
          <w:iCs w:val="false"/>
          <w:sz w:val="28"/>
          <w:szCs w:val="28"/>
          <w:rtl/>
        </w:rPr>
        <w:t xml:space="preserve">فإن تاب واستغفر صُقِل القلب. أتريد أن يحيا قلبُك؟ فعليك بالاستغفار</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٢) تفريجُ الكروب</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ولا سيّما بدعاء يونسَ ﵇: </w:t>
      </w:r>
      <w:r>
        <w:rPr>
          <w:rFonts w:ascii="Traditional Arabic" w:cs="Traditional Arabic" w:eastAsia="Traditional Arabic" w:hAnsi="Traditional Arabic"/>
          <w:b/>
          <w:bCs/>
          <w:i w:val="false"/>
          <w:iCs w:val="false"/>
          <w:sz w:val="28"/>
          <w:szCs w:val="28"/>
          <w:rtl/>
        </w:rPr>
        <w:t xml:space="preserve">﴿لَّا إِلَٰهَ إِلَّا أَنتَ سُبْحَانَكَ إِنِّي كُنتُ مِنَ الظَّالِمِينَ﴾</w:t>
      </w:r>
      <w:r>
        <w:rPr>
          <w:rFonts w:ascii="Traditional Arabic" w:cs="Traditional Arabic" w:eastAsia="Traditional Arabic" w:hAnsi="Traditional Arabic"/>
          <w:b w:val="false"/>
          <w:bCs w:val="false"/>
          <w:i w:val="false"/>
          <w:iCs w:val="false"/>
          <w:sz w:val="28"/>
          <w:szCs w:val="28"/>
          <w:rtl/>
        </w:rPr>
        <w:t xml:space="preserve">؛ فقد قال ﷺ: </w:t>
      </w:r>
      <w:r>
        <w:rPr>
          <w:rFonts w:ascii="Traditional Arabic" w:cs="Traditional Arabic" w:eastAsia="Traditional Arabic" w:hAnsi="Traditional Arabic"/>
          <w:b/>
          <w:bCs/>
          <w:i w:val="false"/>
          <w:iCs w:val="false"/>
          <w:sz w:val="28"/>
          <w:szCs w:val="28"/>
          <w:rtl/>
        </w:rPr>
        <w:t xml:space="preserve">«فإنّه لم يَدْعُ بها رجلٌ مسلمٌ في شيءٍ قطُّ إلا استجاب اللهُ له»</w:t>
      </w:r>
      <w:r>
        <w:rPr>
          <w:rStyle w:val="FootnoteReference"/>
        </w:rPr>
        <w:footnoteReference w:id="11"/>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٣) نزولُ البركات — وهذا هو الجواب</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نحن نبحث عن ماء السماء، وعن الولد والرزق والقوّة والتمكين — </w:t>
      </w:r>
      <w:r>
        <w:rPr>
          <w:rFonts w:ascii="Traditional Arabic" w:cs="Traditional Arabic" w:eastAsia="Traditional Arabic" w:hAnsi="Traditional Arabic"/>
          <w:b/>
          <w:bCs/>
          <w:i w:val="false"/>
          <w:iCs w:val="false"/>
          <w:sz w:val="28"/>
          <w:szCs w:val="28"/>
          <w:rtl/>
        </w:rPr>
        <w:t xml:space="preserve">ونحن في الذنوب غارقون وعن بوّابة الاستغفار مُعرِضون!</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بالأمس رقصٌ وطرب، واليوم نستسقي — أما نستحيي من الخالق؟!</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وقد بيّن ربُّنا في قصّة نوحٍ ﵇: </w:t>
      </w:r>
      <w:r>
        <w:rPr>
          <w:rFonts w:ascii="Traditional Arabic" w:cs="Traditional Arabic" w:eastAsia="Traditional Arabic" w:hAnsi="Traditional Arabic"/>
          <w:b/>
          <w:bCs/>
          <w:i w:val="false"/>
          <w:iCs w:val="false"/>
          <w:sz w:val="28"/>
          <w:szCs w:val="28"/>
          <w:rtl/>
        </w:rPr>
        <w:t xml:space="preserve">﴿فَقُلْتُ اسْتَغْفِرُوا رَبَّكُمْ إِنَّهُ كَانَ غَفَّارًا • يُرْسِلِ السَّمَاءَ عَلَيْكُم مِّدْرَارًا • وَيُمْدِدْكُم بِأَمْوَالٍ وَبَنِينَ وَيَجْعَل لَّكُمْ جَنَّاتٍ وَيَجْعَل لَّكُمْ أَنْهَارًا﴾</w:t>
      </w:r>
      <w:r>
        <w:rPr>
          <w:rFonts w:ascii="Traditional Arabic" w:cs="Traditional Arabic" w:eastAsia="Traditional Arabic" w:hAnsi="Traditional Arabic"/>
          <w:b w:val="false"/>
          <w:bCs w:val="false"/>
          <w:i w:val="false"/>
          <w:iCs w:val="false"/>
          <w:sz w:val="28"/>
          <w:szCs w:val="28"/>
          <w:rtl/>
        </w:rPr>
        <w:t xml:space="preserve">.</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وخرج عمرُ بنُ الخطاب ﵁ يستسقي، </w:t>
      </w:r>
      <w:r>
        <w:rPr>
          <w:rFonts w:ascii="Traditional Arabic" w:cs="Traditional Arabic" w:eastAsia="Traditional Arabic" w:hAnsi="Traditional Arabic"/>
          <w:b/>
          <w:bCs/>
          <w:i w:val="false"/>
          <w:iCs w:val="false"/>
          <w:sz w:val="28"/>
          <w:szCs w:val="28"/>
          <w:rtl/>
        </w:rPr>
        <w:t xml:space="preserve">فما زاد على الاستغفار</w:t>
      </w:r>
      <w:r>
        <w:rPr>
          <w:rFonts w:ascii="Traditional Arabic" w:cs="Traditional Arabic" w:eastAsia="Traditional Arabic" w:hAnsi="Traditional Arabic"/>
          <w:b w:val="false"/>
          <w:bCs w:val="false"/>
          <w:i w:val="false"/>
          <w:iCs w:val="false"/>
          <w:sz w:val="28"/>
          <w:szCs w:val="28"/>
          <w:rtl/>
        </w:rPr>
        <w:t xml:space="preserve">! فقيل له: ما رأيناك استسقيت؟ فقال: </w:t>
      </w:r>
      <w:r>
        <w:rPr>
          <w:rFonts w:ascii="Traditional Arabic" w:cs="Traditional Arabic" w:eastAsia="Traditional Arabic" w:hAnsi="Traditional Arabic"/>
          <w:b/>
          <w:bCs/>
          <w:i w:val="false"/>
          <w:iCs w:val="false"/>
          <w:sz w:val="28"/>
          <w:szCs w:val="28"/>
          <w:rtl/>
        </w:rPr>
        <w:t xml:space="preserve">لقد استسقيتُ بمَجاديحِ السماء التي يُستنزَلُ بها المطر</w:t>
      </w:r>
      <w:r>
        <w:rPr>
          <w:rStyle w:val="FootnoteReference"/>
        </w:rPr>
        <w:footnoteReference w:id="12"/>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فيا كرام: </w:t>
      </w:r>
      <w:r>
        <w:rPr>
          <w:rFonts w:ascii="Traditional Arabic" w:cs="Traditional Arabic" w:eastAsia="Traditional Arabic" w:hAnsi="Traditional Arabic"/>
          <w:b/>
          <w:bCs/>
          <w:i w:val="false"/>
          <w:iCs w:val="false"/>
          <w:sz w:val="28"/>
          <w:szCs w:val="28"/>
          <w:rtl/>
        </w:rPr>
        <w:t xml:space="preserve">إن لم تكن توبةٌ حقيقيّةٌ وعودةٌ صادقةٌ إلى الله فلا تنتظروا خيرًا</w:t>
      </w:r>
      <w:r>
        <w:rPr>
          <w:rFonts w:ascii="Traditional Arabic" w:cs="Traditional Arabic" w:eastAsia="Traditional Arabic" w:hAnsi="Traditional Arabic"/>
          <w:b w:val="false"/>
          <w:bCs w:val="false"/>
          <w:i w:val="false"/>
          <w:iCs w:val="false"/>
          <w:sz w:val="28"/>
          <w:szCs w:val="28"/>
          <w:rtl/>
        </w:rPr>
        <w:t xml:space="preserve">؛ فإنّ ذنوبَ مَن قبلنا فينا: الزنا والربا والخمور وتطفيفُ المكاييل وتعطيلُ شرع الله. </w:t>
      </w:r>
      <w:r>
        <w:rPr>
          <w:rFonts w:ascii="Traditional Arabic" w:cs="Traditional Arabic" w:eastAsia="Traditional Arabic" w:hAnsi="Traditional Arabic"/>
          <w:b/>
          <w:bCs/>
          <w:i w:val="false"/>
          <w:iCs w:val="false"/>
          <w:sz w:val="28"/>
          <w:szCs w:val="28"/>
          <w:rtl/>
        </w:rPr>
        <w:t xml:space="preserve">فاحمدوا اللهَ أنّ السماء لا تُمطر علينا حجارة!</w:t>
      </w:r>
    </w:p>
    <w:p>
      <w:pPr>
        <w:bidi/>
        <w:spacing w:after="130" w:line="365"/>
        <w:jc w:val="both"/>
      </w:pPr>
      <w:r>
        <w:rPr>
          <w:rFonts w:ascii="Traditional Arabic" w:cs="Traditional Arabic" w:eastAsia="Traditional Arabic" w:hAnsi="Traditional Arabic"/>
          <w:b/>
          <w:bCs/>
          <w:i w:val="false"/>
          <w:iCs w:val="false"/>
          <w:sz w:val="28"/>
          <w:szCs w:val="28"/>
          <w:rtl/>
        </w:rPr>
        <w:t xml:space="preserve">أسألُ اللهَ بمنّه وكرمه ألّا يؤاخذنا بما فعل السفهاءُ منّا، وأن يجعلنا من التوّابين المستغفرين. اللهمّ اغفر للمسلمين والمسلمات، الأحياءِ منهم والأموات. اللهمّ آمِنّا في أوطاننا، وأصلِح واهدِ ووفِّق وُلاةَ أمورنا، واجعل هذا البلدَ آمنًا مطمئنًّا وسائرَ بلادِ المسلمين. اللهمّ احفظ أهلَنا في غزّةَ وفي عمومِ فلسطين، وانصرهم بنصرك وأيّدهم بتأييدك. ربَّنا آتِنا في الدنيا حسنةً وفي الآخرةِ حسنةً وقِنا عذابَ النار. وآخرُ دعوانا أنِ الحمدُ لله ربِّ العالمين، وصلّى اللهُ على نبيّنا محمدٍ وعلى آلِه وصحبِه أجمعين.</w:t>
      </w:r>
    </w:p>
    <w:sectPr>
      <w:headerReference w:type="default" r:id="rId7"/>
      <w:footerReference w:type="default" r:id="rId8"/>
      <w:pgSz w:w="11906" w:h="16838" w:orient="portrait"/>
      <w:pgMar w:top="1250" w:right="1350" w:bottom="125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bidi/>
      <w:jc w:val="center"/>
    </w:pPr>
    <w:r>
      <w:rPr>
        <w:rFonts w:ascii="Traditional Arabic" w:cs="Traditional Arabic" w:eastAsia="Traditional Arabic" w:hAnsi="Traditional Arabic"/>
        <w:sz w:val="20"/>
        <w:szCs w:val="20"/>
        <w:rtl/>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ابن ماجه (٣٦٦٠) وأحمد من حديث أبي هريرة ﵁، وحسّنه الألباني في «صحيح الجامع» (١٦١٧) و«السلسلة الصحيحة» (١٥٩٨).</w:t>
      </w:r>
    </w:p>
  </w:footnote>
  <w:footnote w:id="2">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النسائي (٣٦٦٤) وابن ماجه وأحمد من حديث سعد بن عبادة ﵁، وحسّنه الألباني في «صحيح الجامع» (١١١٣) و«صحيح سنن النسائي».</w:t>
      </w:r>
    </w:p>
  </w:footnote>
  <w:footnote w:id="3">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ابن ماجه (٢٤٢) والبيهقي من حديث أبي هريرة ﵁، وحسّنه الألباني في «صحيح الجامع» (٢٢٣١) و«صحيح الترغيب» (٧٧).</w:t>
      </w:r>
    </w:p>
  </w:footnote>
  <w:footnote w:id="4">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الترمذي (١٠٧٨) وابن ماجه وأحمد من حديث أبي هريرة ﵁. قال الترمذي: «حسن»، وحسّنه الألباني في «صحيح الجامع» (٦٧٧٩) و«الإرواء» (١٤٢٤).</w:t>
      </w:r>
    </w:p>
  </w:footnote>
  <w:footnote w:id="5">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أبو داود (٣٤٦٢) وأحمد والبيهقي من حديث ابن عمر ﵄، وصحّحه الألباني في «السلسلة الصحيحة» (١١) و«صحيح الجامع» (٤٢٣).</w:t>
      </w:r>
    </w:p>
  </w:footnote>
  <w:footnote w:id="6">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أبو داود (٤٨٨٤) وأحمد من حديث جابر ﵁ وأبي طلحة ﵁، وحسّنه الألباني في «صحيح الجامع» (٥٦٩٠) و«صحيح الترغيب» (٢٣٢٩).</w:t>
      </w:r>
    </w:p>
  </w:footnote>
  <w:footnote w:id="7">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الطبراني من حديث طلق بن علي ﵁، وصحّحه الألباني في «صحيح الجامع» (٥٣٨٠)، وأصلُه في «صحيح البخاري» من حديث أبي شريح ﵁: «لا يؤمن — واللهِ لا يؤمن…».</w:t>
      </w:r>
    </w:p>
  </w:footnote>
  <w:footnote w:id="8">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أحمد (٣/١٣٥) وابن حبان من حديث أنسٍ ﵁، وحسّنه الألباني في «صحيح الجامع» (٧١٧٩).</w:t>
      </w:r>
    </w:p>
  </w:footnote>
  <w:footnote w:id="9">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البخاري في «الأدب المفرد» (١١٢) والطبراني والبيهقي من حديث ابن عباس ﵄، وصحّحه الألباني في «صحيح الأدب المفرد» (٨٢) و«السلسلة الصحيحة» (١٤٩).</w:t>
      </w:r>
    </w:p>
  </w:footnote>
  <w:footnote w:id="10">
    <w:p>
      <w:pPr>
        <w:bidi/>
        <w:jc w:val="right"/>
      </w:pPr>
      <w:r>
        <w:rPr>
          <w:rStyle w:val="FootnoteReference"/>
        </w:rPr>
        <w:footnoteRef/>
      </w:r>
      <w:r>
        <w:rPr>
          <w:rFonts w:ascii="Traditional Arabic" w:cs="Traditional Arabic" w:eastAsia="Traditional Arabic" w:hAnsi="Traditional Arabic"/>
          <w:sz w:val="20"/>
          <w:szCs w:val="20"/>
          <w:rtl/>
        </w:rPr>
        <w:t xml:space="preserve">رواه الترمذي (٢٤٩٩) وابن ماجه من حديث أنسٍ ﵁، وحسّنه الألباني في «صحيح الجامع» (٤٥١٥).</w:t>
      </w:r>
    </w:p>
  </w:footnote>
  <w:footnote w:id="11">
    <w:p>
      <w:pPr>
        <w:bidi/>
        <w:jc w:val="right"/>
      </w:pPr>
      <w:r>
        <w:rPr>
          <w:rStyle w:val="FootnoteReference"/>
        </w:rPr>
        <w:footnoteRef/>
      </w:r>
      <w:r>
        <w:rPr>
          <w:rFonts w:ascii="Traditional Arabic" w:cs="Traditional Arabic" w:eastAsia="Traditional Arabic" w:hAnsi="Traditional Arabic"/>
          <w:sz w:val="20"/>
          <w:szCs w:val="20"/>
          <w:rtl/>
        </w:rPr>
        <w:t xml:space="preserve">رواه الترمذي (٣٥٠٥) والنسائي في «الكبرى» والحاكم من حديث سعد بن أبي وقاص ﵁، وصحّحه الألباني في «صحيح الجامع» (٣٣٨٣) و«السلسلة الصحيحة» (١٦٤٤).</w:t>
      </w:r>
    </w:p>
  </w:footnote>
  <w:footnote w:id="12">
    <w:p>
      <w:pPr>
        <w:bidi/>
        <w:jc w:val="right"/>
      </w:pPr>
      <w:r>
        <w:rPr>
          <w:rStyle w:val="FootnoteReference"/>
        </w:rPr>
        <w:footnoteRef/>
      </w:r>
      <w:r>
        <w:rPr>
          <w:rFonts w:ascii="Traditional Arabic" w:cs="Traditional Arabic" w:eastAsia="Traditional Arabic" w:hAnsi="Traditional Arabic"/>
          <w:sz w:val="20"/>
          <w:szCs w:val="20"/>
          <w:rtl/>
        </w:rPr>
        <w:t xml:space="preserve">أثرٌ مشهور عن عمر ﵁، ذكره ابن كثير في «تفسيره» عند سورة نوح، وأخرجه ابن أبي شيبة والبيهقي. و«المَجاديح» جمعُ مِجْدَح، وأصلُها من أنواء الجاهلية، استعارها عمرُ ﵁ للاستغفار.</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B393" w:sz="4" w:space="4"/>
      </w:pBdr>
      <w:bidi/>
      <w:jc w:val="right"/>
    </w:pPr>
    <w:r>
      <w:rPr>
        <w:rFonts w:ascii="Traditional Arabic" w:cs="Traditional Arabic" w:eastAsia="Traditional Arabic" w:hAnsi="Traditional Arabic"/>
        <w:b w:val="false"/>
        <w:bCs w:val="false"/>
        <w:i w:val="false"/>
        <w:iCs w:val="false"/>
        <w:color w:val="8A7A66"/>
        <w:sz w:val="19"/>
        <w:szCs w:val="19"/>
        <w:rtl/>
      </w:rPr>
      <w:t xml:space="preserve">الاستغفار: فضائلُ وثمار — خطبة الجمعة | د. عماد السواعير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sz w:val="28"/>
        <w:szCs w:val="28"/>
        <w:rtl/>
      </w:rPr>
    </w:rPrDefault>
    <w:pPrDefault>
      <w:pPr>
        <w:bidi/>
        <w:spacing w:after="130" w:line="365"/>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2026-08-01T17:50:04.194Z</dcterms:created>
  <dcterms:modified xsi:type="dcterms:W3CDTF">2026-08-01T17:50:04.194Z</dcterms:modified>
</cp:coreProperties>
</file>

<file path=docProps/custom.xml><?xml version="1.0" encoding="utf-8"?>
<Properties xmlns="http://schemas.openxmlformats.org/officeDocument/2006/custom-properties" xmlns:vt="http://schemas.openxmlformats.org/officeDocument/2006/docPropsVTypes"/>
</file>