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before="400" w:after="60"/>
      </w:pPr>
      <w:r>
        <w:rPr>
          <w:b/>
          <w:bCs/>
          <w:color w:val="1F5C3A"/>
          <w:sz w:val="36"/>
          <w:szCs w:val="36"/>
        </w:rPr>
        <w:t xml:space="preserve">أمانةُ المسؤولية</w:t>
      </w:r>
    </w:p>
    <w:p>
      <w:pPr>
        <w:spacing w:after="120"/>
      </w:pPr>
      <w:r>
        <w:rPr>
          <w:color w:val="8A6A1F"/>
          <w:sz w:val="36"/>
          <w:szCs w:val="36"/>
        </w:rPr>
        <w:t xml:space="preserve">فضائلُ الأمانة، وصُوَرُها، وخطرُ تضييعِها</w:t>
      </w:r>
    </w:p>
    <w:p>
      <w:pPr>
        <w:pBdr>
          <w:top w:val="single" w:sz="6" w:space="8" w:color="8A6A1F"/>
        </w:pBdr>
        <w:spacing w:after="60"/>
      </w:pPr>
      <w:r>
        <w:rPr>
          <w:color w:val="555555"/>
          <w:sz w:val="36"/>
          <w:szCs w:val="36"/>
        </w:rPr>
        <w:t xml:space="preserve">خُطبةُ جُمُعة | د. عماد بن يونس السواعير العجارمة</w:t>
      </w:r>
    </w:p>
    <w:p>
      <w:pPr>
        <w:spacing w:after="320"/>
      </w:pPr>
      <w:r>
        <w:rPr>
          <w:i/>
          <w:iCs/>
          <w:color w:val="777777"/>
          <w:sz w:val="36"/>
          <w:szCs w:val="36"/>
        </w:rPr>
        <w:t xml:space="preserve">نصٌّ مُفرَّغٌ ومُهذَّبٌ للنشر</w:t>
      </w:r>
    </w:p>
    <w:p>
      <w:pPr>
        <w:pBdr>
          <w:bottom w:val="single" w:sz="8" w:space="6" w:color="1F5C3A"/>
        </w:pBdr>
        <w:spacing w:before="320" w:after="200"/>
      </w:pPr>
      <w:r>
        <w:rPr>
          <w:b/>
          <w:bCs/>
          <w:color w:val="1F5C3A"/>
          <w:sz w:val="36"/>
          <w:szCs w:val="36"/>
        </w:rPr>
        <w:t xml:space="preserve">الخُطبةُ الأولى</w:t>
      </w:r>
    </w:p>
    <w:p>
      <w:pPr>
        <w:spacing w:before="260" w:after="120"/>
      </w:pPr>
      <w:r>
        <w:rPr>
          <w:b/>
          <w:bCs/>
          <w:color w:val="1F5C3A"/>
          <w:sz w:val="36"/>
          <w:szCs w:val="36"/>
        </w:rPr>
        <w:t xml:space="preserve">تمهيد: أَبحَثُ عنه ولا أكادُ أَجِدُه</w:t>
      </w:r>
    </w:p>
    <w:p>
      <w:pPr>
        <w:spacing w:after="140" w:line="340" w:lineRule="auto"/>
        <w:jc w:val="both"/>
      </w:pPr>
      <w:r>
        <w:rPr>
          <w:color w:val="1A1A1A"/>
          <w:sz w:val="36"/>
          <w:szCs w:val="36"/>
        </w:rPr>
        <w:t xml:space="preserve">وبعدُ، أحبَّتي في الله، معاشرَ المصلِّين: أبحثُ عنه في كلِّ قريةٍ ومدينةٍ ولا أكادُ أجِدُه. الناسُ كثير، ويصدُقُ فيهم قولُ الشاعر:</w:t>
      </w:r>
    </w:p>
    <w:p>
      <w:pPr>
        <w:pBdr>
          <w:right w:val="single" w:sz="12" w:space="10" w:color="8A6A1F"/>
        </w:pBdr>
        <w:spacing w:before="120" w:after="160" w:line="320" w:lineRule="auto"/>
        <w:ind w:left="504" w:right="504"/>
        <w:jc w:val="both"/>
      </w:pPr>
      <w:r>
        <w:rPr>
          <w:b/>
          <w:bCs/>
          <w:color w:val="1F5C3A"/>
          <w:sz w:val="36"/>
          <w:szCs w:val="36"/>
        </w:rPr>
        <w:t xml:space="preserve">وما أكثرَ الإخوانَ حين تَعُدُّهم ... ولكنَّهم في النائباتِ قليلُ</w:t>
      </w:r>
    </w:p>
    <w:p>
      <w:pPr>
        <w:spacing w:after="140" w:line="340" w:lineRule="auto"/>
        <w:jc w:val="both"/>
      </w:pPr>
      <w:r>
        <w:rPr>
          <w:color w:val="1A1A1A"/>
          <w:sz w:val="36"/>
          <w:szCs w:val="36"/>
        </w:rPr>
        <w:t xml:space="preserve">ضاعَتِ الأموال، وضُيِّعَتِ البلاد، فلا أحدَ يأمَنُ على مالِه ولا دينِه ولا عِرضِه. عمَّ أتكلَّم؟ عن **خُلُقِ الأمانة**؛ ذلكم الخُلُقِ الرفيعِ الذي عزَّ وندَرَ في زمانِنا، كما أخبرَ ﷺ أنّ الناسَ يفقِدونه حتى يُقال: **</w:t>
      </w:r>
      <w:r>
        <w:rPr>
          <w:b/>
          <w:bCs/>
          <w:color w:val="1F5C3A"/>
          <w:sz w:val="36"/>
          <w:szCs w:val="36"/>
        </w:rPr>
        <w:t xml:space="preserve">«إنّ في بني فلانٍ رجلًا أمينًا»</w:t>
      </w:r>
      <w:r>
        <w:rPr>
          <w:color w:val="1A1A1A"/>
          <w:sz w:val="36"/>
          <w:szCs w:val="36"/>
        </w:rPr>
        <w:t xml:space="preserve">**.</w:t>
      </w:r>
      <w:r>
        <w:rPr>
          <w:rStyle w:val="a5"/>
          <w:sz w:val="36"/>
          <w:szCs w:val="36"/>
        </w:rPr>
        <w:footnoteReference w:id="1"/>
      </w:r>
    </w:p>
    <w:p>
      <w:pPr>
        <w:spacing w:after="140" w:line="340" w:lineRule="auto"/>
        <w:jc w:val="both"/>
      </w:pPr>
      <w:r>
        <w:rPr>
          <w:color w:val="1A1A1A"/>
          <w:sz w:val="36"/>
          <w:szCs w:val="36"/>
        </w:rPr>
        <w:t xml:space="preserve">فحديثي عن فضلِ الأمانةِ وصُوَرِها.</w:t>
      </w:r>
    </w:p>
    <w:p>
      <w:pPr>
        <w:spacing w:before="260" w:after="120"/>
      </w:pPr>
      <w:r>
        <w:rPr>
          <w:b/>
          <w:bCs/>
          <w:color w:val="1F5C3A"/>
          <w:sz w:val="36"/>
          <w:szCs w:val="36"/>
        </w:rPr>
        <w:t xml:space="preserve">أولًا: فضائلُ الأمانة</w:t>
      </w:r>
    </w:p>
    <w:p>
      <w:pPr>
        <w:spacing w:before="200" w:after="100"/>
      </w:pPr>
      <w:r>
        <w:rPr>
          <w:b/>
          <w:bCs/>
          <w:color w:val="1A1A1A"/>
          <w:sz w:val="36"/>
          <w:szCs w:val="36"/>
        </w:rPr>
        <w:t xml:space="preserve">١) أنها أمرٌ من الله</w:t>
      </w:r>
    </w:p>
    <w:p>
      <w:pPr>
        <w:spacing w:after="140" w:line="340" w:lineRule="auto"/>
        <w:jc w:val="both"/>
      </w:pPr>
      <w:r>
        <w:rPr>
          <w:b/>
          <w:bCs/>
          <w:color w:val="8A6A1F"/>
          <w:sz w:val="36"/>
          <w:szCs w:val="36"/>
        </w:rPr>
        <w:t xml:space="preserve">﴿إِنَّ اللَّهَ يَأْمُرُكُمْ أَن تُؤَدُّوا الْأَمَانَاتِ إِلَىٰ أَهْلِهَا﴾</w:t>
      </w:r>
      <w:r>
        <w:rPr>
          <w:color w:val="1A1A1A"/>
          <w:sz w:val="36"/>
          <w:szCs w:val="36"/>
        </w:rPr>
        <w:t xml:space="preserve"> ـ وأمرُ اللهِ على الوجوب. وقال ﷺ:</w:t>
      </w:r>
    </w:p>
    <w:p>
      <w:pPr>
        <w:pBdr>
          <w:right w:val="single" w:sz="12" w:space="10" w:color="8A6A1F"/>
        </w:pBdr>
        <w:spacing w:before="120" w:after="160" w:line="320" w:lineRule="auto"/>
        <w:ind w:left="504" w:right="504"/>
        <w:jc w:val="both"/>
      </w:pPr>
      <w:r>
        <w:rPr>
          <w:b/>
          <w:bCs/>
          <w:color w:val="1F5C3A"/>
          <w:sz w:val="36"/>
          <w:szCs w:val="36"/>
        </w:rPr>
        <w:t xml:space="preserve">«أَدِّ الأمانةَ إلى من ائتمنَك، ولا تَخُنْ من خانَك»</w:t>
      </w:r>
      <w:r>
        <w:rPr>
          <w:rStyle w:val="a5"/>
          <w:sz w:val="36"/>
          <w:szCs w:val="36"/>
        </w:rPr>
        <w:footnoteReference w:id="2"/>
      </w:r>
    </w:p>
    <w:p>
      <w:pPr>
        <w:spacing w:after="140" w:line="340" w:lineRule="auto"/>
        <w:jc w:val="both"/>
      </w:pPr>
      <w:r>
        <w:rPr>
          <w:color w:val="1A1A1A"/>
          <w:sz w:val="36"/>
          <w:szCs w:val="36"/>
        </w:rPr>
        <w:t xml:space="preserve">فحتى مع من خانَك لا تخُنْ؛ فليست الأمانةُ محضَ اختيار، بل حقٌّ لازمٌ في عُنُقِك.</w:t>
      </w:r>
    </w:p>
    <w:p>
      <w:pPr>
        <w:spacing w:before="200" w:after="100"/>
      </w:pPr>
      <w:r>
        <w:rPr>
          <w:b/>
          <w:bCs/>
          <w:color w:val="1A1A1A"/>
          <w:sz w:val="36"/>
          <w:szCs w:val="36"/>
        </w:rPr>
        <w:t xml:space="preserve">٢) أنها علامةُ إيمان</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«لا إيمانَ لمن لا أمانةَ له، ولا دِينَ لمن لا عهدَ له»</w:t>
      </w:r>
      <w:r>
        <w:rPr>
          <w:rStyle w:val="a5"/>
          <w:sz w:val="36"/>
          <w:szCs w:val="36"/>
        </w:rPr>
        <w:footnoteReference w:id="3"/>
      </w:r>
    </w:p>
    <w:p>
      <w:pPr>
        <w:spacing w:after="140" w:line="340" w:lineRule="auto"/>
        <w:jc w:val="both"/>
      </w:pPr>
      <w:r>
        <w:rPr>
          <w:color w:val="1A1A1A"/>
          <w:sz w:val="36"/>
          <w:szCs w:val="36"/>
        </w:rPr>
        <w:t xml:space="preserve">وربُّك ﷻ لمّا نعتَ أهلَ الفلاحِ قال: </w:t>
      </w:r>
      <w:r>
        <w:rPr>
          <w:b/>
          <w:bCs/>
          <w:color w:val="8A6A1F"/>
          <w:sz w:val="36"/>
          <w:szCs w:val="36"/>
        </w:rPr>
        <w:t xml:space="preserve">﴿وَالَّذِينَ هُمْ لِأَمَانَاتِهِمْ وَعَهْدِهِمْ رَاعُونَ﴾</w:t>
      </w:r>
      <w:r>
        <w:rPr>
          <w:color w:val="1A1A1A"/>
          <w:sz w:val="36"/>
          <w:szCs w:val="36"/>
        </w:rPr>
        <w:t xml:space="preserve">. وقال ﷺ:</w:t>
      </w:r>
    </w:p>
    <w:p>
      <w:pPr>
        <w:pBdr>
          <w:right w:val="single" w:sz="12" w:space="10" w:color="8A6A1F"/>
        </w:pBdr>
        <w:spacing w:before="120" w:after="160" w:line="320" w:lineRule="auto"/>
        <w:ind w:left="504" w:right="504"/>
        <w:jc w:val="both"/>
      </w:pPr>
      <w:r>
        <w:rPr>
          <w:b/>
          <w:bCs/>
          <w:color w:val="1F5C3A"/>
          <w:sz w:val="36"/>
          <w:szCs w:val="36"/>
        </w:rPr>
        <w:t xml:space="preserve">«المسلمُ من سلِمَ المسلمون من لسانِه ويدِه، والمؤمنُ من أَمِنَه الناسُ على دمائِهم وأموالِهم»</w:t>
      </w:r>
      <w:r>
        <w:rPr>
          <w:rStyle w:val="a5"/>
          <w:sz w:val="36"/>
          <w:szCs w:val="36"/>
        </w:rPr>
        <w:footnoteReference w:id="4"/>
      </w:r>
    </w:p>
    <w:p>
      <w:pPr>
        <w:spacing w:after="140" w:line="340" w:lineRule="auto"/>
        <w:jc w:val="both"/>
      </w:pPr>
      <w:r>
        <w:rPr>
          <w:color w:val="1A1A1A"/>
          <w:sz w:val="36"/>
          <w:szCs w:val="36"/>
        </w:rPr>
        <w:t xml:space="preserve">فديننا عباداتٌ ومعاملات، ولن تصِلَ إلى الجنةِ إلا بأداءِ الحقَّين. فإن أَمِنَك الناسُ فأَبشِرْ بالخير، وإن أَوجَسوا منك خِيفةً في بيعِهم وشرائِهم فاتَّهِمْ إيمانَك. ولذلك قال عمرُ ﵁: **لا يَغُرَّنَّكم صلاةُ امرئٍ ولا صيامُه... ولكنِ انظُروا إلى ورَعِه وأمانتِه.**</w:t>
      </w:r>
      <w:r>
        <w:rPr>
          <w:rStyle w:val="a5"/>
          <w:sz w:val="36"/>
          <w:szCs w:val="36"/>
        </w:rPr>
        <w:footnoteReference w:id="5"/>
      </w:r>
    </w:p>
    <w:p>
      <w:pPr>
        <w:spacing w:before="200" w:after="100"/>
      </w:pPr>
      <w:r>
        <w:rPr>
          <w:b/>
          <w:bCs/>
          <w:color w:val="1A1A1A"/>
          <w:sz w:val="36"/>
          <w:szCs w:val="36"/>
        </w:rPr>
        <w:t xml:space="preserve">٣) أنّ إضاعتَها علامةُ نفاق</w:t>
      </w:r>
    </w:p>
    <w:p>
      <w:pPr>
        <w:spacing w:after="140" w:line="340" w:lineRule="auto"/>
        <w:jc w:val="both"/>
      </w:pPr>
      <w:r>
        <w:rPr>
          <w:color w:val="1A1A1A"/>
          <w:sz w:val="36"/>
          <w:szCs w:val="36"/>
        </w:rPr>
        <w:t xml:space="preserve">قال ﷺ:</w:t>
      </w:r>
    </w:p>
    <w:p>
      <w:pPr>
        <w:pBdr>
          <w:right w:val="single" w:sz="12" w:space="10" w:color="8A6A1F"/>
        </w:pBdr>
        <w:spacing w:before="120" w:after="160" w:line="320" w:lineRule="auto"/>
        <w:ind w:left="504" w:right="504"/>
        <w:jc w:val="both"/>
      </w:pPr>
      <w:r>
        <w:rPr>
          <w:b/>
          <w:bCs/>
          <w:color w:val="1F5C3A"/>
          <w:sz w:val="36"/>
          <w:szCs w:val="36"/>
        </w:rPr>
        <w:t xml:space="preserve">«آيةُ المنافقِ ثلاث: إذا حدَّثَ كذَب، وإذا وعَدَ أخلَف، وإذا اؤتُمِنَ خان»</w:t>
      </w:r>
      <w:r>
        <w:rPr>
          <w:rStyle w:val="a5"/>
          <w:sz w:val="36"/>
          <w:szCs w:val="36"/>
        </w:rPr>
        <w:footnoteReference w:id="6"/>
      </w:r>
    </w:p>
    <w:p>
      <w:pPr>
        <w:spacing w:after="140" w:line="340" w:lineRule="auto"/>
        <w:jc w:val="both"/>
      </w:pPr>
      <w:r>
        <w:rPr>
          <w:color w:val="1A1A1A"/>
          <w:sz w:val="36"/>
          <w:szCs w:val="36"/>
        </w:rPr>
        <w:t xml:space="preserve">فإن كنتَ خائنًا لا تُؤدّي الأماناتِ فاتَّهِمْ نفسَك؛ نسألُ اللهَ السلامةَ والعافية.</w:t>
      </w:r>
    </w:p>
    <w:p>
      <w:pPr>
        <w:spacing w:before="200" w:after="100"/>
      </w:pPr>
      <w:r>
        <w:rPr>
          <w:b/>
          <w:bCs/>
          <w:color w:val="1A1A1A"/>
          <w:sz w:val="36"/>
          <w:szCs w:val="36"/>
        </w:rPr>
        <w:t xml:space="preserve">٤) أنّ ضياعَها علامةٌ على الساعة</w:t>
      </w:r>
    </w:p>
    <w:p>
      <w:pPr>
        <w:spacing w:after="140" w:line="340" w:lineRule="auto"/>
        <w:jc w:val="both"/>
      </w:pPr>
      <w:r>
        <w:rPr>
          <w:color w:val="1A1A1A"/>
          <w:sz w:val="36"/>
          <w:szCs w:val="36"/>
        </w:rPr>
        <w:t xml:space="preserve">جاء أعرابيٌّ إلى النبيِّ ﷺ فقال: متى الساعة؟ ـ وقلوبُهم مُعلَّقةٌ بالآخرة ـ فقال ﷺ:</w:t>
      </w:r>
    </w:p>
    <w:p>
      <w:pPr>
        <w:pBdr>
          <w:right w:val="single" w:sz="12" w:space="10" w:color="8A6A1F"/>
        </w:pBdr>
        <w:spacing w:before="120" w:after="160" w:line="320" w:lineRule="auto"/>
        <w:ind w:left="504" w:right="504"/>
        <w:jc w:val="both"/>
      </w:pPr>
      <w:r>
        <w:rPr>
          <w:b/>
          <w:bCs/>
          <w:color w:val="1F5C3A"/>
          <w:sz w:val="36"/>
          <w:szCs w:val="36"/>
        </w:rPr>
        <w:t xml:space="preserve">«إذا ضُيِّعَتِ الأمانةُ فانتظِرِ الساعة»</w:t>
      </w:r>
    </w:p>
    <w:p>
      <w:pPr>
        <w:spacing w:after="140" w:line="340" w:lineRule="auto"/>
        <w:jc w:val="both"/>
      </w:pPr>
      <w:r>
        <w:rPr>
          <w:color w:val="1A1A1A"/>
          <w:sz w:val="36"/>
          <w:szCs w:val="36"/>
        </w:rPr>
        <w:t xml:space="preserve">قال: وكيف إضاعتُها؟ قال:</w:t>
      </w:r>
    </w:p>
    <w:p>
      <w:pPr>
        <w:pBdr>
          <w:right w:val="single" w:sz="12" w:space="10" w:color="8A6A1F"/>
        </w:pBdr>
        <w:spacing w:before="120" w:after="160" w:line="320" w:lineRule="auto"/>
        <w:ind w:left="504" w:right="504"/>
        <w:jc w:val="both"/>
      </w:pPr>
      <w:r>
        <w:rPr>
          <w:b/>
          <w:bCs/>
          <w:color w:val="1F5C3A"/>
          <w:sz w:val="36"/>
          <w:szCs w:val="36"/>
        </w:rPr>
        <w:t xml:space="preserve">«إذا أُسنِدَ الأمرُ إلى غيرِ أهلِه فانتظِرِ الساعة»</w:t>
      </w:r>
      <w:r>
        <w:rPr>
          <w:rStyle w:val="a5"/>
          <w:sz w:val="36"/>
          <w:szCs w:val="36"/>
        </w:rPr>
        <w:footnoteReference w:id="7"/>
      </w:r>
    </w:p>
    <w:p>
      <w:pPr>
        <w:spacing w:after="140" w:line="340" w:lineRule="auto"/>
        <w:jc w:val="both"/>
      </w:pPr>
      <w:r>
        <w:rPr>
          <w:color w:val="1A1A1A"/>
          <w:sz w:val="36"/>
          <w:szCs w:val="36"/>
        </w:rPr>
        <w:t xml:space="preserve">فأن تكونَ أنت بخيانتِك علامةً على اقترابِ الساعةِ ـ أمرٌ مُخيف.</w:t>
      </w:r>
    </w:p>
    <w:p>
      <w:pPr>
        <w:spacing w:before="200" w:after="200"/>
        <w:jc w:val="both"/>
      </w:pPr>
      <w:r>
        <w:rPr>
          <w:color w:val="8A6A1F"/>
          <w:sz w:val="36"/>
          <w:szCs w:val="36"/>
        </w:rPr>
        <w:t xml:space="preserve">❊  ❊  ❊</w:t>
      </w:r>
    </w:p>
    <w:p>
      <w:pPr>
        <w:spacing w:after="140" w:line="340" w:lineRule="auto"/>
        <w:jc w:val="both"/>
      </w:pPr>
      <w:r>
        <w:rPr>
          <w:color w:val="1A1A1A"/>
          <w:sz w:val="36"/>
          <w:szCs w:val="36"/>
        </w:rPr>
        <w:t xml:space="preserve">باركَ اللهُ لي ولكم في القرآنِ العظيم، ونفعني وإياكم بما فيه من الآياتِ والذكرِ الحكيم. أقولُ ما سمعتم، وأستغفرُ اللهَ العليَّ العظيمَ لي ولكم من كلِّ ذنبٍ وخطيئة، فاستغفروه إنه هو الغفورُ الرحيم.</w:t>
      </w:r>
    </w:p>
    <w:p>
      <w:pPr>
        <w:pBdr>
          <w:bottom w:val="single" w:sz="8" w:space="6" w:color="1F5C3A"/>
        </w:pBdr>
        <w:spacing w:before="320" w:after="200"/>
      </w:pPr>
      <w:r>
        <w:rPr>
          <w:b/>
          <w:bCs/>
          <w:color w:val="1F5C3A"/>
          <w:sz w:val="36"/>
          <w:szCs w:val="36"/>
        </w:rPr>
        <w:t xml:space="preserve">الخُطبةُ الثانية</w:t>
      </w:r>
    </w:p>
    <w:p>
      <w:pPr>
        <w:spacing w:after="140" w:line="340" w:lineRule="auto"/>
        <w:jc w:val="both"/>
      </w:pPr>
      <w:r>
        <w:rPr>
          <w:color w:val="1A1A1A"/>
          <w:sz w:val="36"/>
          <w:szCs w:val="36"/>
        </w:rPr>
        <w:t xml:space="preserve">الحمدُ للهِ وكفى، والصلاةُ والسلامُ على النبيِّ المصطفى، وعلى آلِه وصحبِه، ومن سار على دربِه وسُنَّتَه اقتفى. أمّا بعدُ، أحبَّتي في الله: فما هي الأمانةُ التي تحدَّثنا عن فضائلِها؟</w:t>
      </w:r>
    </w:p>
    <w:p>
      <w:pPr>
        <w:spacing w:before="260" w:after="120"/>
      </w:pPr>
      <w:r>
        <w:rPr>
          <w:b/>
          <w:bCs/>
          <w:color w:val="1F5C3A"/>
          <w:sz w:val="36"/>
          <w:szCs w:val="36"/>
        </w:rPr>
        <w:t xml:space="preserve">ثانيًا: صُوَرُ الأمانة</w:t>
      </w:r>
    </w:p>
    <w:p>
      <w:pPr>
        <w:spacing w:after="140" w:line="340" w:lineRule="auto"/>
        <w:jc w:val="both"/>
      </w:pPr>
      <w:r>
        <w:rPr>
          <w:color w:val="1A1A1A"/>
          <w:sz w:val="36"/>
          <w:szCs w:val="36"/>
        </w:rPr>
        <w:t xml:space="preserve">إيّاك أن تظُنَّ أنّ الأمانةَ وديعةٌ من المالِ وُضِعَتْ عندك فحسب؛ فتلك صورةٌ واحدة. **إنّ الأمانةَ كلُّ حقٍّ يجبُ عليك أداؤه** ـ من حقوقِ اللهِ وحقوقِ عبادِه. وأذكُرُ ثلاثَ صُوَر:</w:t>
      </w:r>
    </w:p>
    <w:p>
      <w:pPr>
        <w:spacing w:before="200" w:after="100"/>
      </w:pPr>
      <w:r>
        <w:rPr>
          <w:b/>
          <w:bCs/>
          <w:color w:val="1A1A1A"/>
          <w:sz w:val="36"/>
          <w:szCs w:val="36"/>
        </w:rPr>
        <w:t xml:space="preserve">١) أمانةُ العلمِ والدين</w:t>
      </w:r>
    </w:p>
    <w:p>
      <w:pPr>
        <w:spacing w:after="140" w:line="340" w:lineRule="auto"/>
        <w:jc w:val="both"/>
      </w:pPr>
      <w:r>
        <w:rPr>
          <w:color w:val="1A1A1A"/>
          <w:sz w:val="36"/>
          <w:szCs w:val="36"/>
        </w:rPr>
        <w:t xml:space="preserve">أيها المعلِّمون، أيها الدعاة، يا طلبةَ العلم: عندكم أمانةٌ عظيمة. تعليمُ الناسِ التوحيدَ أمانةٌ سيسألُك اللهُ عنها؛ وتحذيرُهم من الخرافاتِ أمانة. أبناؤنا أمانةٌ في أعناقِكم، وأخلاقُ بناتِنا أمانةٌ في رِقابِ المعلِّمات. وأيها الخطيبُ والإمامُ والمؤذِّن: دِينُ الناسِ أمانة؛ فدُلَّهم على الخير، وعلِّقْ قلوبَهم بالله.</w:t>
      </w:r>
    </w:p>
    <w:p>
      <w:pPr>
        <w:spacing w:before="200" w:after="100"/>
      </w:pPr>
      <w:r>
        <w:rPr>
          <w:b/>
          <w:bCs/>
          <w:color w:val="1A1A1A"/>
          <w:sz w:val="36"/>
          <w:szCs w:val="36"/>
        </w:rPr>
        <w:t xml:space="preserve">٢) أمانةُ الولد</w:t>
      </w:r>
    </w:p>
    <w:p>
      <w:pPr>
        <w:spacing w:after="140" w:line="340" w:lineRule="auto"/>
        <w:jc w:val="both"/>
      </w:pPr>
      <w:r>
        <w:rPr>
          <w:color w:val="1A1A1A"/>
          <w:sz w:val="36"/>
          <w:szCs w:val="36"/>
        </w:rPr>
        <w:t xml:space="preserve">فولدُك وبنتُك أمانة؛ قال ﷺ:</w:t>
      </w:r>
    </w:p>
    <w:p>
      <w:pPr>
        <w:pBdr>
          <w:right w:val="single" w:sz="12" w:space="10" w:color="8A6A1F"/>
        </w:pBdr>
        <w:spacing w:before="120" w:after="160" w:line="320" w:lineRule="auto"/>
        <w:ind w:left="504" w:right="504"/>
        <w:jc w:val="both"/>
      </w:pPr>
      <w:r>
        <w:rPr>
          <w:b/>
          <w:bCs/>
          <w:color w:val="1F5C3A"/>
          <w:sz w:val="36"/>
          <w:szCs w:val="36"/>
        </w:rPr>
        <w:t xml:space="preserve">«كلُّكم راعٍ وكلُّكم مسؤولٌ عن رعيَّتِه»</w:t>
      </w:r>
      <w:r>
        <w:rPr>
          <w:rStyle w:val="a5"/>
          <w:sz w:val="36"/>
          <w:szCs w:val="36"/>
        </w:rPr>
        <w:footnoteReference w:id="8"/>
      </w:r>
    </w:p>
    <w:p>
      <w:pPr>
        <w:spacing w:after="140" w:line="340" w:lineRule="auto"/>
        <w:jc w:val="both"/>
      </w:pPr>
      <w:r>
        <w:rPr>
          <w:color w:val="1A1A1A"/>
          <w:sz w:val="36"/>
          <w:szCs w:val="36"/>
        </w:rPr>
        <w:t xml:space="preserve">فإيّاك أن تأتيَ يومَ القيامةِ وأنت لا تدري: أَصلّى ولدُك أم لم يُصَلّ؟ لا تعرِفُ عن صيامِهم ولا توحيدِهم ولا أخلاقِهم شيئًا. وقد قال ﷺ:</w:t>
      </w:r>
    </w:p>
    <w:p>
      <w:pPr>
        <w:pBdr>
          <w:right w:val="single" w:sz="12" w:space="10" w:color="8A6A1F"/>
        </w:pBdr>
        <w:spacing w:before="120" w:after="160" w:line="320" w:lineRule="auto"/>
        <w:ind w:left="504" w:right="504"/>
        <w:jc w:val="both"/>
      </w:pPr>
      <w:r>
        <w:rPr>
          <w:b/>
          <w:bCs/>
          <w:color w:val="1F5C3A"/>
          <w:sz w:val="36"/>
          <w:szCs w:val="36"/>
        </w:rPr>
        <w:t xml:space="preserve">«ما من عبدٍ يَستَرعيه اللهُ رعيَّةً يموتُ يومَ يموتُ وهو غاشٌّ لرعيَّتِه إلا حرَّمَ اللهُ عليه الجنة»</w:t>
      </w:r>
      <w:r>
        <w:rPr>
          <w:rStyle w:val="a5"/>
          <w:sz w:val="36"/>
          <w:szCs w:val="36"/>
        </w:rPr>
        <w:footnoteReference w:id="9"/>
      </w:r>
    </w:p>
    <w:p>
      <w:pPr>
        <w:spacing w:before="200" w:after="100"/>
      </w:pPr>
      <w:r>
        <w:rPr>
          <w:b/>
          <w:bCs/>
          <w:color w:val="1A1A1A"/>
          <w:sz w:val="36"/>
          <w:szCs w:val="36"/>
        </w:rPr>
        <w:t xml:space="preserve">٣) أمانةُ المال</w:t>
      </w:r>
    </w:p>
    <w:p>
      <w:pPr>
        <w:spacing w:after="140" w:line="340" w:lineRule="auto"/>
        <w:jc w:val="both"/>
      </w:pPr>
      <w:r>
        <w:rPr>
          <w:color w:val="1A1A1A"/>
          <w:sz w:val="36"/>
          <w:szCs w:val="36"/>
        </w:rPr>
        <w:t xml:space="preserve">يا من ائتمنَك الناسُ على أموالِهم وتجاراتِهم: اتَّقِ اللهَ فيها وكُنْ عبدًا أمينًا.</w:t>
      </w:r>
    </w:p>
    <w:p>
      <w:pPr>
        <w:spacing w:after="140" w:line="340" w:lineRule="auto"/>
        <w:jc w:val="both"/>
      </w:pPr>
      <w:r>
        <w:rPr>
          <w:color w:val="1A1A1A"/>
          <w:sz w:val="36"/>
          <w:szCs w:val="36"/>
        </w:rPr>
        <w:t xml:space="preserve">وقد رُوِيَ أنّ عمرَ ﵁ لمّا حُمِلَ إليه ما حُمِلَ من كنوزِ كسرى ووُضِعَ بين يديه، جعلَ يُقلِّبُه بيدِه ويقول: **إنّ الذي أدّى هذا لَأمين!** فقال له رجلٌ في حضرتِه: يا أميرَ المؤمنين، **أنت أمينُ الله؛ فإذا أدَّيتَ أمانةَ اللهِ أدّى الناسُ أماناتِهم، وإذا رتَعتَ رتَعوا.**</w:t>
      </w:r>
      <w:r>
        <w:rPr>
          <w:rStyle w:val="a5"/>
          <w:sz w:val="36"/>
          <w:szCs w:val="36"/>
        </w:rPr>
        <w:footnoteReference w:id="10"/>
      </w:r>
    </w:p>
    <w:p>
      <w:pPr>
        <w:spacing w:after="140" w:line="340" w:lineRule="auto"/>
        <w:jc w:val="both"/>
      </w:pPr>
      <w:r>
        <w:rPr>
          <w:color w:val="1A1A1A"/>
          <w:sz w:val="36"/>
          <w:szCs w:val="36"/>
        </w:rPr>
        <w:t xml:space="preserve">فيا كلَّ مسؤولٍ ومعلِّمٍ ومهندسٍ وطبيب: أنت تنتظِرُ المُصلِحين وأنت نفسُك موضعُ القُدوة!</w:t>
      </w:r>
    </w:p>
    <w:p>
      <w:pPr>
        <w:spacing w:before="260" w:after="120"/>
      </w:pPr>
      <w:r>
        <w:rPr>
          <w:b/>
          <w:bCs/>
          <w:color w:val="1F5C3A"/>
          <w:sz w:val="36"/>
          <w:szCs w:val="36"/>
        </w:rPr>
        <w:t xml:space="preserve">ثالثًا: قصةُ مُبارَك</w:t>
      </w:r>
    </w:p>
    <w:p>
      <w:pPr>
        <w:spacing w:after="140" w:line="340" w:lineRule="auto"/>
        <w:jc w:val="both"/>
      </w:pPr>
      <w:r>
        <w:rPr>
          <w:color w:val="1A1A1A"/>
          <w:sz w:val="36"/>
          <w:szCs w:val="36"/>
        </w:rPr>
        <w:t xml:space="preserve">ولمّا وُجِدَ في هذه الأمَّةِ أمثالُ **مُبارَكٍ** كانت أمَّةً مُبارَكة. ومُبارَكٌ هذا هو والدُ عبدِ اللهِ بنِ المبارك، الإمامِ العابدِ المجاهد. كان مُبارَكٌ عبدًا لرجلٍ يُقالُ له نُوحٌ، فأرسلَه إلى بستانِ عنبٍ يحرُسُه. فجاءه سيِّدُه بعد مُدَّةٍ فقال: يا مُبارَك، ائتِني بعُنقودِ عنبٍ حُلْو. فأتاه بعُنقودٍ فذاقَه فإذا هو حامض. فقال: ائتِني بغيرِه، فأتاه بآخَرَ فإذا هو حامض. ثم الثالثةَ كذلك؛ فقال: وَيحَك! ألا تعرِفُ الحُلوَ من الحامض؟ فقال مُبارَك:</w:t>
      </w:r>
    </w:p>
    <w:p>
      <w:pPr>
        <w:pBdr>
          <w:right w:val="single" w:sz="12" w:space="10" w:color="8A6A1F"/>
        </w:pBdr>
        <w:spacing w:before="120" w:after="160" w:line="320" w:lineRule="auto"/>
        <w:ind w:left="504" w:right="504"/>
        <w:jc w:val="both"/>
      </w:pPr>
      <w:r>
        <w:rPr>
          <w:b/>
          <w:bCs/>
          <w:color w:val="1F5C3A"/>
          <w:sz w:val="36"/>
          <w:szCs w:val="36"/>
        </w:rPr>
        <w:t xml:space="preserve">«لا واللهِ؛ إنما أرسَلتَني حارسًا ولم تُرسِلْني آكِلًا»</w:t>
      </w:r>
    </w:p>
    <w:p>
      <w:pPr>
        <w:spacing w:after="140" w:line="340" w:lineRule="auto"/>
        <w:jc w:val="both"/>
      </w:pPr>
      <w:r>
        <w:rPr>
          <w:color w:val="1A1A1A"/>
          <w:sz w:val="36"/>
          <w:szCs w:val="36"/>
        </w:rPr>
        <w:t xml:space="preserve">فأعجبَ ذلك سيِّدَه فأعتقَه وزوَّجَه ابنتَه؛ فأخرجَ اللهُ من هذا البيتِ عبدَ اللهِ بنَ المبارك ﵀.</w:t>
      </w:r>
      <w:r>
        <w:rPr>
          <w:rStyle w:val="a5"/>
          <w:sz w:val="36"/>
          <w:szCs w:val="36"/>
        </w:rPr>
        <w:footnoteReference w:id="11"/>
      </w:r>
    </w:p>
    <w:p>
      <w:pPr>
        <w:spacing w:after="140" w:line="340" w:lineRule="auto"/>
        <w:jc w:val="both"/>
      </w:pPr>
      <w:r>
        <w:rPr>
          <w:color w:val="1A1A1A"/>
          <w:sz w:val="36"/>
          <w:szCs w:val="36"/>
        </w:rPr>
        <w:t xml:space="preserve">فواللهِ لو وُجِدَتِ الأمانةُ في أمَّتِنا لأنجبَتْ أمثالَ ابنِ المبارك.</w:t>
      </w:r>
    </w:p>
    <w:p>
      <w:pPr>
        <w:spacing w:before="260" w:after="120"/>
      </w:pPr>
      <w:r>
        <w:rPr>
          <w:b/>
          <w:bCs/>
          <w:color w:val="1F5C3A"/>
          <w:sz w:val="36"/>
          <w:szCs w:val="36"/>
        </w:rPr>
        <w:t xml:space="preserve">خاتمة</w:t>
      </w:r>
    </w:p>
    <w:p>
      <w:pPr>
        <w:spacing w:after="140" w:line="340" w:lineRule="auto"/>
        <w:jc w:val="both"/>
      </w:pPr>
      <w:r>
        <w:rPr>
          <w:color w:val="1A1A1A"/>
          <w:sz w:val="36"/>
          <w:szCs w:val="36"/>
        </w:rPr>
        <w:t xml:space="preserve">أسألُ اللهَ أن يُحييَ في قلوبِنا خُلُقَ الأمانة، وأن يجعلَ أمَّتَنا أمَّةً أمينة؛ إنه وليُّ ذلك والقادرُ عليه.</w:t>
      </w:r>
    </w:p>
    <w:p>
      <w:pPr>
        <w:spacing w:after="140" w:line="340" w:lineRule="auto"/>
        <w:jc w:val="both"/>
      </w:pPr>
      <w:r>
        <w:rPr>
          <w:color w:val="1A1A1A"/>
          <w:sz w:val="36"/>
          <w:szCs w:val="36"/>
        </w:rPr>
        <w:t xml:space="preserve">اللهم اغفِرْ للمسلمين والمسلمات، الأحياءِ منهم والأموات. اللهم آمِنّا في أوطانِنا، وأصلِحْ وُلاةَ أمورِنا ووفِّقْهم، واجعَلْ هذا البلدَ آمنًا مطمئنًّا وسائرَ بلادِ المسلمين. ربَّنا آتِنا في الدنيا حسنةً وفي الآخرةِ حسنةً وقِنا عذابَ النار. وآخِرُ دعوانا أنِ الحمدُ للهِ ربِّ العالمين.</w:t>
      </w:r>
    </w:p>
    <w:sectPr w:rsidR="004A7447" w:rsidRPr="0056790D">
      <w:foot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1D1DF3" w14:textId="77777777" w:rsidR="005A32A4" w:rsidRDefault="005A32A4">
      <w:r>
        <w:separator/>
      </w:r>
    </w:p>
  </w:endnote>
  <w:endnote w:type="continuationSeparator" w:id="0">
    <w:p w14:paraId="3030C898" w14:textId="77777777" w:rsidR="005A32A4" w:rsidRDefault="005A32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aditional Arabic">
    <w:panose1 w:val="02020603050405020304"/>
    <w:charset w:val="00"/>
    <w:family w:val="roman"/>
    <w:pitch w:val="variable"/>
    <w:sig w:usb0="00002003" w:usb1="80000000" w:usb2="00000008" w:usb3="00000000" w:csb0="00000041"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43D5" w14:textId="77777777" w:rsidR="004A7447" w:rsidRDefault="00F75558">
    <w:pPr>
      <w:jc w:val="center"/>
    </w:pPr>
    <w:r>
      <w:rPr>
        <w:color w:val="888888"/>
        <w:sz w:val="20"/>
        <w:szCs w:val="20"/>
      </w:rPr>
      <w:fldChar w:fldCharType="begin"/>
    </w:r>
    <w:r>
      <w:rPr>
        <w:color w:val="888888"/>
        <w:sz w:val="20"/>
        <w:szCs w:val="20"/>
      </w:rPr>
      <w:instrText>PAGE</w:instrText>
    </w:r>
    <w:r>
      <w:rPr>
        <w:color w:val="888888"/>
        <w:sz w:val="20"/>
        <w:szCs w:val="20"/>
      </w:rPr>
      <w:fldChar w:fldCharType="separate"/>
    </w:r>
    <w:r>
      <w:rPr>
        <w:noProof/>
        <w:color w:val="888888"/>
        <w:sz w:val="20"/>
        <w:szCs w:val="20"/>
      </w:rPr>
      <w:t>1</w:t>
    </w:r>
    <w:r>
      <w:rPr>
        <w:color w:val="888888"/>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77D416" w14:textId="77777777" w:rsidR="005A32A4" w:rsidRDefault="005A32A4">
      <w:r>
        <w:separator/>
      </w:r>
    </w:p>
  </w:footnote>
  <w:footnote w:type="continuationSeparator" w:id="0">
    <w:p w14:paraId="4B68A558" w14:textId="77777777" w:rsidR="005A32A4" w:rsidRDefault="005A32A4">
      <w:r>
        <w:continuationSeparator/>
      </w:r>
    </w:p>
  </w:footnote>
  <w:footnote w:id="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حُذيفةَ ﵁ في رفعِ الأمانة.</w:t>
      </w:r>
    </w:p>
  </w:footnote>
  <w:footnote w:id="2">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أبو داود والترمذيُّ من حديث أبي هريرة ﵁، وحسَّنه الألباني.</w:t>
      </w:r>
    </w:p>
  </w:footnote>
  <w:footnote w:id="3">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أحمدُ وابنُ حبان من حديث أنس بن مالك ﵁، وحسَّنه الألباني.</w:t>
      </w:r>
    </w:p>
  </w:footnote>
  <w:footnote w:id="4">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الترمذيُّ والنسائيُّ من حديث أبي هريرة ﵁، وصححه الألباني. وأصلُه في «الصحيحين» بلفظ: «المسلمُ من سلِمَ المسلمون من لسانِه ويدِه».</w:t>
      </w:r>
    </w:p>
  </w:footnote>
  <w:footnote w:id="5">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رواه البيهقيُّ في «السنن» وابنُ عبد البَرِّ في «التمهيد».</w:t>
      </w:r>
    </w:p>
  </w:footnote>
  <w:footnote w:id="6">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أبي هريرة ﵁.</w:t>
      </w:r>
    </w:p>
  </w:footnote>
  <w:footnote w:id="7">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أخرجه البخاريُّ من حديث أبي هريرة ﵁.</w:t>
      </w:r>
    </w:p>
  </w:footnote>
  <w:footnote w:id="8">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ابن عمر ﵄.</w:t>
      </w:r>
    </w:p>
  </w:footnote>
  <w:footnote w:id="9">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متفقٌ عليه؛ أخرجه البخاريُّ ومسلمٌ من حديث مَعقِلِ بنِ يَسارٍ ﵁.</w:t>
      </w:r>
    </w:p>
  </w:footnote>
  <w:footnote w:id="10">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أثرٌ عن عمر بن الخطاب ﵁؛ رواه ابنُ قُتيبةَ في «عيون الأخبار» وابنُ سعدٍ في «الطبقات» بنحوِه.</w:t>
      </w:r>
    </w:p>
  </w:footnote>
  <w:footnote w:id="11">
    <w:p>
      <w:pPr>
        <w:pStyle w:val="a6"/>
        <w:bidi/>
        <w:spacing w:after="60" w:line="260" w:lineRule="auto"/>
        <w:jc w:val="both"/>
        <w:rPr>
          <w:sz w:val="26"/>
          <w:szCs w:val="26"/>
        </w:rPr>
      </w:pPr>
      <w:r>
        <w:rPr>
          <w:rStyle w:val="a5"/>
          <w:color w:val="8A6A1F"/>
          <w:sz w:val="26"/>
          <w:szCs w:val="26"/>
        </w:rPr>
        <w:footnoteRef/>
      </w:r>
      <w:r>
        <w:rPr>
          <w:color w:val="3A3A3A"/>
          <w:sz w:val="26"/>
          <w:szCs w:val="26"/>
        </w:rPr>
        <w:t xml:space="preserve"> من ترجمةِ عبد الله بن المبارك ﵀؛ ذكرَها الذهبيُّ في «سير أعلام النبلاء» وابنُ الجوزيِّ في «صفة الصفوة»، وهي من حكاياتِ الورَعِ التي تُذكَرُ للاعتبار.</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679A9"/>
    <w:multiLevelType w:val="hybridMultilevel"/>
    <w:tmpl w:val="FFFFFFFF"/>
    <w:lvl w:ilvl="0" w:tplc="225EE7A0">
      <w:start w:val="1"/>
      <w:numFmt w:val="bullet"/>
      <w:lvlText w:val="●"/>
      <w:lvlJc w:val="left"/>
      <w:pPr>
        <w:ind w:left="720" w:hanging="360"/>
      </w:pPr>
    </w:lvl>
    <w:lvl w:ilvl="1" w:tplc="99DACD68">
      <w:start w:val="1"/>
      <w:numFmt w:val="bullet"/>
      <w:lvlText w:val="○"/>
      <w:lvlJc w:val="left"/>
      <w:pPr>
        <w:ind w:left="1440" w:hanging="360"/>
      </w:pPr>
    </w:lvl>
    <w:lvl w:ilvl="2" w:tplc="85CC43C4">
      <w:start w:val="1"/>
      <w:numFmt w:val="bullet"/>
      <w:lvlText w:val="■"/>
      <w:lvlJc w:val="left"/>
      <w:pPr>
        <w:ind w:left="2160" w:hanging="360"/>
      </w:pPr>
    </w:lvl>
    <w:lvl w:ilvl="3" w:tplc="4B14BFE0">
      <w:start w:val="1"/>
      <w:numFmt w:val="bullet"/>
      <w:lvlText w:val="●"/>
      <w:lvlJc w:val="left"/>
      <w:pPr>
        <w:ind w:left="2880" w:hanging="360"/>
      </w:pPr>
    </w:lvl>
    <w:lvl w:ilvl="4" w:tplc="9CC82B0E">
      <w:start w:val="1"/>
      <w:numFmt w:val="bullet"/>
      <w:lvlText w:val="○"/>
      <w:lvlJc w:val="left"/>
      <w:pPr>
        <w:ind w:left="3600" w:hanging="360"/>
      </w:pPr>
    </w:lvl>
    <w:lvl w:ilvl="5" w:tplc="45F4F340">
      <w:start w:val="1"/>
      <w:numFmt w:val="bullet"/>
      <w:lvlText w:val="■"/>
      <w:lvlJc w:val="left"/>
      <w:pPr>
        <w:ind w:left="4320" w:hanging="360"/>
      </w:pPr>
    </w:lvl>
    <w:lvl w:ilvl="6" w:tplc="7720A8FE">
      <w:start w:val="1"/>
      <w:numFmt w:val="bullet"/>
      <w:lvlText w:val="●"/>
      <w:lvlJc w:val="left"/>
      <w:pPr>
        <w:ind w:left="5040" w:hanging="360"/>
      </w:pPr>
    </w:lvl>
    <w:lvl w:ilvl="7" w:tplc="B19A0D00">
      <w:start w:val="1"/>
      <w:numFmt w:val="bullet"/>
      <w:lvlText w:val="●"/>
      <w:lvlJc w:val="left"/>
      <w:pPr>
        <w:ind w:left="5760" w:hanging="360"/>
      </w:pPr>
    </w:lvl>
    <w:lvl w:ilvl="8" w:tplc="262CEC60">
      <w:start w:val="1"/>
      <w:numFmt w:val="bullet"/>
      <w:lvlText w:val="●"/>
      <w:lvlJc w:val="left"/>
      <w:pPr>
        <w:ind w:left="6480" w:hanging="360"/>
      </w:pPr>
    </w:lvl>
  </w:abstractNum>
  <w:num w:numId="1" w16cid:durableId="117703389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7447"/>
    <w:rsid w:val="004A7447"/>
    <w:rsid w:val="0056790D"/>
    <w:rsid w:val="005A32A4"/>
    <w:rsid w:val="00BF27FD"/>
    <w:rsid w:val="00C222F7"/>
    <w:rsid w:val="00C922A7"/>
    <w:rsid w:val="00F7555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741A77"/>
  <w15:docId w15:val="{A2515A19-99E2-204B-8D08-89FA4DAF87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raditional Arabic" w:eastAsia="Traditional Arabic" w:hAnsi="Traditional Arabic" w:cs="Traditional Arabic"/>
        <w:sz w:val="28"/>
        <w:szCs w:val="28"/>
        <w:rtl/>
        <w:lang w:val="en-US" w:eastAsia="en-US" w:bidi="ar-SA"/>
      </w:rPr>
    </w:rPrDefault>
    <w:pPrDefault>
      <w:pPr>
        <w:bidi/>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uiPriority w:val="9"/>
    <w:qFormat/>
    <w:pPr>
      <w:outlineLvl w:val="0"/>
    </w:pPr>
    <w:rPr>
      <w:color w:val="2E74B5"/>
      <w:sz w:val="32"/>
      <w:szCs w:val="32"/>
    </w:rPr>
  </w:style>
  <w:style w:type="paragraph" w:styleId="2">
    <w:name w:val="heading 2"/>
    <w:uiPriority w:val="9"/>
    <w:semiHidden/>
    <w:unhideWhenUsed/>
    <w:qFormat/>
    <w:pPr>
      <w:outlineLvl w:val="1"/>
    </w:pPr>
    <w:rPr>
      <w:color w:val="2E74B5"/>
      <w:sz w:val="26"/>
      <w:szCs w:val="26"/>
    </w:rPr>
  </w:style>
  <w:style w:type="paragraph" w:styleId="3">
    <w:name w:val="heading 3"/>
    <w:uiPriority w:val="9"/>
    <w:semiHidden/>
    <w:unhideWhenUsed/>
    <w:qFormat/>
    <w:pPr>
      <w:outlineLvl w:val="2"/>
    </w:pPr>
    <w:rPr>
      <w:color w:val="1F4D78"/>
      <w:sz w:val="24"/>
      <w:szCs w:val="24"/>
    </w:rPr>
  </w:style>
  <w:style w:type="paragraph" w:styleId="4">
    <w:name w:val="heading 4"/>
    <w:uiPriority w:val="9"/>
    <w:semiHidden/>
    <w:unhideWhenUsed/>
    <w:qFormat/>
    <w:pPr>
      <w:outlineLvl w:val="3"/>
    </w:pPr>
    <w:rPr>
      <w:i/>
      <w:iCs/>
      <w:color w:val="2E74B5"/>
    </w:rPr>
  </w:style>
  <w:style w:type="paragraph" w:styleId="5">
    <w:name w:val="heading 5"/>
    <w:uiPriority w:val="9"/>
    <w:semiHidden/>
    <w:unhideWhenUsed/>
    <w:qFormat/>
    <w:pPr>
      <w:outlineLvl w:val="4"/>
    </w:pPr>
    <w:rPr>
      <w:color w:val="2E74B5"/>
    </w:rPr>
  </w:style>
  <w:style w:type="paragraph" w:styleId="6">
    <w:name w:val="heading 6"/>
    <w:uiPriority w:val="9"/>
    <w:semiHidden/>
    <w:unhideWhenUsed/>
    <w:qFormat/>
    <w:pPr>
      <w:outlineLvl w:val="5"/>
    </w:pPr>
    <w:rPr>
      <w:color w:val="1F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uiPriority w:val="10"/>
    <w:qFormat/>
    <w:rPr>
      <w:sz w:val="56"/>
      <w:szCs w:val="56"/>
    </w:rPr>
  </w:style>
  <w:style w:type="paragraph" w:customStyle="1" w:styleId="10">
    <w:name w:val="تشديد1"/>
    <w:qFormat/>
    <w:rPr>
      <w:b/>
      <w:bCs/>
    </w:rPr>
  </w:style>
  <w:style w:type="paragraph" w:styleId="a4">
    <w:name w:val="List Paragraph"/>
    <w:qFormat/>
  </w:style>
  <w:style w:type="character" w:styleId="Hyperlink">
    <w:name w:val="Hyperlink"/>
    <w:uiPriority w:val="99"/>
    <w:unhideWhenUsed/>
    <w:rPr>
      <w:color w:val="0563C1"/>
      <w:u w:val="single"/>
    </w:rPr>
  </w:style>
  <w:style w:type="character" w:styleId="a5">
    <w:name w:val="footnote reference"/>
    <w:uiPriority w:val="99"/>
    <w:semiHidden/>
    <w:unhideWhenUsed/>
    <w:rPr>
      <w:vertAlign w:val="superscript"/>
    </w:rPr>
  </w:style>
  <w:style w:type="paragraph" w:styleId="a6">
    <w:name w:val="footnote text"/>
    <w:link w:val="Char"/>
    <w:uiPriority w:val="99"/>
    <w:semiHidden/>
    <w:unhideWhenUsed/>
    <w:rPr>
      <w:sz w:val="20"/>
      <w:szCs w:val="20"/>
    </w:rPr>
  </w:style>
  <w:style w:type="character" w:customStyle="1" w:styleId="Char">
    <w:name w:val="نص حاشية سفلية Char"/>
    <w:link w:val="a6"/>
    <w:uiPriority w:val="99"/>
    <w:semiHidden/>
    <w:unhideWhenUsed/>
    <w:rPr>
      <w:sz w:val="20"/>
      <w:szCs w:val="20"/>
    </w:rPr>
  </w:style>
  <w:style w:type="character" w:styleId="a7">
    <w:name w:val="endnote reference"/>
    <w:uiPriority w:val="99"/>
    <w:semiHidden/>
    <w:unhideWhenUsed/>
    <w:rPr>
      <w:vertAlign w:val="superscript"/>
    </w:rPr>
  </w:style>
  <w:style w:type="paragraph" w:styleId="a8">
    <w:name w:val="endnote text"/>
    <w:link w:val="Char0"/>
    <w:uiPriority w:val="99"/>
    <w:semiHidden/>
    <w:unhideWhenUsed/>
    <w:rPr>
      <w:sz w:val="20"/>
      <w:szCs w:val="20"/>
    </w:rPr>
  </w:style>
  <w:style w:type="character" w:customStyle="1" w:styleId="Char0">
    <w:name w:val="نص تعليق ختامي Char"/>
    <w:link w:val="a8"/>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1853</Words>
  <Characters>9749</Characters>
  <Application>Microsoft Office Word</Application>
  <DocSecurity>0</DocSecurity>
  <Lines>120</Lines>
  <Paragraphs>65</Paragraphs>
  <ScaleCrop>false</ScaleCrop>
  <Company/>
  <LinksUpToDate>false</LinksUpToDate>
  <CharactersWithSpaces>11537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emad alswaeer</cp:lastModifiedBy>
  <cp:revision>4</cp:revision>
  <dcterms:created xsi:type="dcterms:W3CDTF">2026-07-30T20:16:00Z</dcterms:created>
  <dcterms:modified xsi:type="dcterms:W3CDTF">2026-07-31T09:04:00Z</dcterms:modified>
</cp:coreProperties>
</file>