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﴿ادْفَعْ بِالَّتِي هِيَ أَحْسَنُ﴾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أسبابُ الحقدِ والشحناءِ والكراهية — وعلاجُها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نارٌ تشتعلُ ولا تنطفئ، تحرقُ الأخضرَ واليابس، حتى تُخلِّف وراءها أرضَ القلبِ يَبابًا لا نباتَ فيها</w:t>
      </w:r>
      <w:r>
        <w:rPr>
          <w:rFonts w:ascii="Traditional Arabic" w:cs="Traditional Arabic" w:eastAsia="Traditional Arabic" w:hAnsi="Traditional Arabic"/>
          <w:b w:val="false"/>
          <w:bCs w:val="false"/>
          <w:i w:val="false"/>
          <w:iCs w:val="false"/>
          <w:sz w:val="28"/>
          <w:szCs w:val="28"/>
          <w:rtl/>
        </w:rPr>
        <w:t xml:space="preserve">. فما هذه النار؟ ومَن الذي أشعلها؟ وأين تشتعل؟ وكيف نُطفئها؟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إنّها نارُ الحقدِ والشحناءِ والبغضاء، نارُ التدابرِ والخصومةِ بين الإخوة. وهذه النارُ تستحيلُ قطيعةَ رحمٍ وأذيّةَ جيران، بل قد تصيرُ سفكًا للدماء. </w:t>
      </w:r>
      <w:r>
        <w:rPr>
          <w:rFonts w:ascii="Traditional Arabic" w:cs="Traditional Arabic" w:eastAsia="Traditional Arabic" w:hAnsi="Traditional Arabic"/>
          <w:b/>
          <w:bCs/>
          <w:i w:val="false"/>
          <w:iCs w:val="false"/>
          <w:sz w:val="28"/>
          <w:szCs w:val="28"/>
          <w:rtl/>
        </w:rPr>
        <w:t xml:space="preserve">فمن أجلها يهجرُ فلانٌ فلانًا، ويقطعُ فلانٌ رحمَه، بل يقتلُ فلانٌ فلانًا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أطلَّ النبيُّ ﷺ على أصحابه سائلًا: ألا أُنبِّئكم بأفضلِكم؟ قالوا: بلى. قال: </w:t>
      </w:r>
      <w:r>
        <w:rPr>
          <w:rFonts w:ascii="Traditional Arabic" w:cs="Traditional Arabic" w:eastAsia="Traditional Arabic" w:hAnsi="Traditional Arabic"/>
          <w:b/>
          <w:bCs/>
          <w:i w:val="false"/>
          <w:iCs w:val="false"/>
          <w:sz w:val="28"/>
          <w:szCs w:val="28"/>
          <w:rtl/>
        </w:rPr>
        <w:t xml:space="preserve">«كلُّ مخمومِ القلبِ صَدوقِ اللسان»</w:t>
      </w:r>
      <w:r>
        <w:rPr>
          <w:rFonts w:ascii="Traditional Arabic" w:cs="Traditional Arabic" w:eastAsia="Traditional Arabic" w:hAnsi="Traditional Arabic"/>
          <w:b w:val="false"/>
          <w:bCs w:val="false"/>
          <w:i w:val="false"/>
          <w:iCs w:val="false"/>
          <w:sz w:val="28"/>
          <w:szCs w:val="28"/>
          <w:rtl/>
        </w:rPr>
        <w:t xml:space="preserve">. قالوا: أمّا صدوقُ اللسان فنعرفه، فما مخمومُ القلب؟ قال: </w:t>
      </w:r>
      <w:r>
        <w:rPr>
          <w:rFonts w:ascii="Traditional Arabic" w:cs="Traditional Arabic" w:eastAsia="Traditional Arabic" w:hAnsi="Traditional Arabic"/>
          <w:b/>
          <w:bCs/>
          <w:i w:val="false"/>
          <w:iCs w:val="false"/>
          <w:sz w:val="28"/>
          <w:szCs w:val="28"/>
          <w:rtl/>
        </w:rPr>
        <w:t xml:space="preserve">«هو التقيُّ النقيُّ، لا إثمَ فيه ولا بَغْيَ ولا غِلَّ ولا حسد»</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 فلماذا إذًا تشتعلُ نارُ الحقد في قلبي وقلبك؟</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الأول: التنافسُ على الدنيا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هذه الدنيا التي لا تساوي عند الله جناحَ بعوضة، تنافس الناسُ عليها، </w:t>
      </w:r>
      <w:r>
        <w:rPr>
          <w:rFonts w:ascii="Traditional Arabic" w:cs="Traditional Arabic" w:eastAsia="Traditional Arabic" w:hAnsi="Traditional Arabic"/>
          <w:b/>
          <w:bCs/>
          <w:i w:val="false"/>
          <w:iCs w:val="false"/>
          <w:sz w:val="28"/>
          <w:szCs w:val="28"/>
          <w:rtl/>
        </w:rPr>
        <w:t xml:space="preserve">فصارت كلُّ معاداةٍ في زماننا عليها</w:t>
      </w:r>
      <w:r>
        <w:rPr>
          <w:rFonts w:ascii="Traditional Arabic" w:cs="Traditional Arabic" w:eastAsia="Traditional Arabic" w:hAnsi="Traditional Arabic"/>
          <w:b w:val="false"/>
          <w:bCs w:val="false"/>
          <w:i w:val="false"/>
          <w:iCs w:val="false"/>
          <w:sz w:val="28"/>
          <w:szCs w:val="28"/>
          <w:rtl/>
        </w:rPr>
        <w:t xml:space="preserve">. ويا ليتنا نتخاصمُ ويغضبُ أحدُنا لله! وإنما هي للدنيا: باعثُها مالٌ، أو شهرةٌ، أو حسدُ أقران. وقد قال ﷺ لأصحابه: </w:t>
      </w:r>
      <w:r>
        <w:rPr>
          <w:rFonts w:ascii="Traditional Arabic" w:cs="Traditional Arabic" w:eastAsia="Traditional Arabic" w:hAnsi="Traditional Arabic"/>
          <w:b/>
          <w:bCs/>
          <w:i w:val="false"/>
          <w:iCs w:val="false"/>
          <w:sz w:val="28"/>
          <w:szCs w:val="28"/>
          <w:rtl/>
        </w:rPr>
        <w:t xml:space="preserve">«فواللهِ ما الفقرَ أخشى عليكم، ولكن أخشى أن تُبسَط عليكم الدنيا كما بُسِطت على مَن كان قبلكم، فتنافسوها كما تنافسوها، فتُهلككم كما أهلكتهم»</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الثاني: النميمة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لمّا أرخى العبدُ أُذنَه للنمّام — لهذا الذي يُفسد بين الناس — فيقول لك: أتدري ماذا قال عنك فلان؟ أسمعتَ ما قاله؟ ألم تقرأ ما كتبه؟ — </w:t>
      </w:r>
      <w:r>
        <w:rPr>
          <w:rFonts w:ascii="Traditional Arabic" w:cs="Traditional Arabic" w:eastAsia="Traditional Arabic" w:hAnsi="Traditional Arabic"/>
          <w:b/>
          <w:bCs/>
          <w:i w:val="false"/>
          <w:iCs w:val="false"/>
          <w:sz w:val="28"/>
          <w:szCs w:val="28"/>
          <w:rtl/>
        </w:rPr>
        <w:t xml:space="preserve">فقُطِعَ الأحبابُ وتقاطع الأصحابُ وخرِبت بيوت</w:t>
      </w:r>
      <w:r>
        <w:rPr>
          <w:rFonts w:ascii="Traditional Arabic" w:cs="Traditional Arabic" w:eastAsia="Traditional Arabic" w:hAnsi="Traditional Arabic"/>
          <w:b w:val="false"/>
          <w:bCs w:val="false"/>
          <w:i w:val="false"/>
          <w:iCs w:val="false"/>
          <w:sz w:val="28"/>
          <w:szCs w:val="28"/>
          <w:rtl/>
        </w:rPr>
        <w:t xml:space="preserve">. والنبيُّ ﷺ يقول: «لا يدخلُ الجنّةَ قتّات».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فإيّاك أن تستمع إلى هذا الذي يُخرِّب البيوت، ويُخبِّب الزوجَ على زوجته والزوجةَ على زوجها، بزعمِ أنّه ينقلُ ما سمِع. </w:t>
      </w:r>
      <w:r>
        <w:rPr>
          <w:rFonts w:ascii="Traditional Arabic" w:cs="Traditional Arabic" w:eastAsia="Traditional Arabic" w:hAnsi="Traditional Arabic"/>
          <w:b/>
          <w:bCs/>
          <w:i w:val="false"/>
          <w:iCs w:val="false"/>
          <w:sz w:val="28"/>
          <w:szCs w:val="28"/>
          <w:rtl/>
        </w:rPr>
        <w:t xml:space="preserve">ويا ليته استعمل الإصلاحَ بين الناس الذي رخّص الشارعُ فيه!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الثالث: عدمُ نسيان الأخطاء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نحن بشرٌ نُخطئ ونُذنب، لسنا ملائكةً معصومين. فزوجتُك ستُخطئ، وأبوك وأمّك وأخوك وصاحبُك وشيخُك وكلُّ مَن تُعاشر. </w:t>
      </w:r>
      <w:r>
        <w:rPr>
          <w:rFonts w:ascii="Traditional Arabic" w:cs="Traditional Arabic" w:eastAsia="Traditional Arabic" w:hAnsi="Traditional Arabic"/>
          <w:b/>
          <w:bCs/>
          <w:i w:val="false"/>
          <w:iCs w:val="false"/>
          <w:sz w:val="28"/>
          <w:szCs w:val="28"/>
          <w:rtl/>
        </w:rPr>
        <w:t xml:space="preserve">لكنّ المصيبةَ أن أقِفَ عند الخطأ فيُسافر في قلبي حتى يستحيل نارًا تأكلُ حسناتي</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وتأمّلوا في إخوة يوسف ﵇ حين قالوا: </w:t>
      </w:r>
      <w:r>
        <w:rPr>
          <w:rFonts w:ascii="Traditional Arabic" w:cs="Traditional Arabic" w:eastAsia="Traditional Arabic" w:hAnsi="Traditional Arabic"/>
          <w:b/>
          <w:bCs/>
          <w:i w:val="false"/>
          <w:iCs w:val="false"/>
          <w:sz w:val="28"/>
          <w:szCs w:val="28"/>
          <w:rtl/>
        </w:rPr>
        <w:t xml:space="preserve">﴿إِن يَسْرِقْ فَقَدْ سَرَقَ أَخٌ لَّهُ مِن قَبْلُ﴾</w:t>
      </w:r>
      <w:r>
        <w:rPr>
          <w:rFonts w:ascii="Traditional Arabic" w:cs="Traditional Arabic" w:eastAsia="Traditional Arabic" w:hAnsi="Traditional Arabic"/>
          <w:b w:val="false"/>
          <w:bCs w:val="false"/>
          <w:i w:val="false"/>
          <w:iCs w:val="false"/>
          <w:sz w:val="28"/>
          <w:szCs w:val="28"/>
          <w:rtl/>
        </w:rPr>
        <w:t xml:space="preserve"> — خطأٌ محمولٌ في القلوب أعوامًا متطاولة! وقد أرشدك النبيُّ ﷺ في أدقِّ العلاقات فقال: </w:t>
      </w:r>
      <w:r>
        <w:rPr>
          <w:rFonts w:ascii="Traditional Arabic" w:cs="Traditional Arabic" w:eastAsia="Traditional Arabic" w:hAnsi="Traditional Arabic"/>
          <w:b/>
          <w:bCs/>
          <w:i w:val="false"/>
          <w:iCs w:val="false"/>
          <w:sz w:val="28"/>
          <w:szCs w:val="28"/>
          <w:rtl/>
        </w:rPr>
        <w:t xml:space="preserve">«إن كرِه منها خُلقًا رضِيَ منها آخر»</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علاجُ هذه النار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أولًا: الإحسانُ إلى المسيء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خُلُقُ الكبار. ألم يقل ربّك: </w:t>
      </w:r>
      <w:r>
        <w:rPr>
          <w:rFonts w:ascii="Traditional Arabic" w:cs="Traditional Arabic" w:eastAsia="Traditional Arabic" w:hAnsi="Traditional Arabic"/>
          <w:b/>
          <w:bCs/>
          <w:i w:val="false"/>
          <w:iCs w:val="false"/>
          <w:sz w:val="28"/>
          <w:szCs w:val="28"/>
          <w:rtl/>
        </w:rPr>
        <w:t xml:space="preserve">﴿ادْفَعْ بِالَّتِي هِيَ أَحْسَنُ فَإِذَا الَّذِي بَيْنَكَ وَبَيْنَهُ عَدَاوَةٌ كَأَنَّهُ وَلِيٌّ حَمِيمٌ • وَمَا يُلَقَّاهَا إِلَّا الَّذِينَ صَبَرُوا وَمَا يُلَقَّاهَا إِلَّا ذُو حَظٍّ عَظِيمٍ﴾</w:t>
      </w:r>
      <w:r>
        <w:rPr>
          <w:rFonts w:ascii="Traditional Arabic" w:cs="Traditional Arabic" w:eastAsia="Traditional Arabic" w:hAnsi="Traditional Arabic"/>
          <w:b w:val="false"/>
          <w:bCs w:val="false"/>
          <w:i w:val="false"/>
          <w:iCs w:val="false"/>
          <w:sz w:val="28"/>
          <w:szCs w:val="28"/>
          <w:rtl/>
        </w:rPr>
        <w:t xml:space="preserve">؟ وهذا نبيُّكم ﷺ أُسيء إليه، وخاض ابنُ سلولٍ في عِرضه وعِرضِ عائشة ﵂، ومع ذلك أعطاه قميصَه ليُكفَّن فيه. متفقٌ عليه.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وجاءت جاريةٌ إلى عمر ﵁ تشي بصفيّةَ أمِّ المؤمنين ﵂، فسألها عمر، فقالت: أمّا السبتُ فما أحببتُه منذ أبدلني اللهُ به الجمعة، وأمّا اليهودُ فإنّ لي فيهم رحمًا. ثم التفتت إلى الجارية فقالت: ما حملك على هذا؟ قالت: </w:t>
      </w:r>
      <w:r>
        <w:rPr>
          <w:rFonts w:ascii="Traditional Arabic" w:cs="Traditional Arabic" w:eastAsia="Traditional Arabic" w:hAnsi="Traditional Arabic"/>
          <w:b/>
          <w:bCs/>
          <w:i w:val="false"/>
          <w:iCs w:val="false"/>
          <w:sz w:val="28"/>
          <w:szCs w:val="28"/>
          <w:rtl/>
        </w:rPr>
        <w:t xml:space="preserve">الشيطان</w:t>
      </w:r>
      <w:r>
        <w:rPr>
          <w:rFonts w:ascii="Traditional Arabic" w:cs="Traditional Arabic" w:eastAsia="Traditional Arabic" w:hAnsi="Traditional Arabic"/>
          <w:b w:val="false"/>
          <w:bCs w:val="false"/>
          <w:i w:val="false"/>
          <w:iCs w:val="false"/>
          <w:sz w:val="28"/>
          <w:szCs w:val="28"/>
          <w:rtl/>
        </w:rPr>
        <w:t xml:space="preserve">. فقالت صفيّةُ: </w:t>
      </w:r>
      <w:r>
        <w:rPr>
          <w:rFonts w:ascii="Traditional Arabic" w:cs="Traditional Arabic" w:eastAsia="Traditional Arabic" w:hAnsi="Traditional Arabic"/>
          <w:b/>
          <w:bCs/>
          <w:i w:val="false"/>
          <w:iCs w:val="false"/>
          <w:sz w:val="28"/>
          <w:szCs w:val="28"/>
          <w:rtl/>
        </w:rPr>
        <w:t xml:space="preserve">اذهبي فأنتِ حُرّة!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ابنُ عَون — وهو من سادات التابعين — ضرب غلامُه ناقتَه فَفَقأ عينَها، فقال الناس: الآن نرى أخلاقَ ابنِ عون! فقال: </w:t>
      </w:r>
      <w:r>
        <w:rPr>
          <w:rFonts w:ascii="Traditional Arabic" w:cs="Traditional Arabic" w:eastAsia="Traditional Arabic" w:hAnsi="Traditional Arabic"/>
          <w:b/>
          <w:bCs/>
          <w:i w:val="false"/>
          <w:iCs w:val="false"/>
          <w:sz w:val="28"/>
          <w:szCs w:val="28"/>
          <w:rtl/>
        </w:rPr>
        <w:t xml:space="preserve">سبحان الله! هلّا غيرَ الوجه… اذهب فأنت حُرّ</w:t>
      </w:r>
      <w:r>
        <w:rPr>
          <w:rFonts w:ascii="Traditional Arabic" w:cs="Traditional Arabic" w:eastAsia="Traditional Arabic" w:hAnsi="Traditional Arabic"/>
          <w:b w:val="false"/>
          <w:bCs w:val="false"/>
          <w:i w:val="false"/>
          <w:iCs w:val="false"/>
          <w:sz w:val="28"/>
          <w:szCs w:val="28"/>
          <w:rtl/>
        </w:rPr>
        <w:t xml:space="preserve">. وعمرُ بن عبد العزيز في مرض موته سُقي السمّ، فاستدعى الذي سقاه فقال: كم أعطَوك؟ قال: ألفَ درهم. قال: هاتِها. فردَّها إلى بيت المال، ثم قال: </w:t>
      </w:r>
      <w:r>
        <w:rPr>
          <w:rFonts w:ascii="Traditional Arabic" w:cs="Traditional Arabic" w:eastAsia="Traditional Arabic" w:hAnsi="Traditional Arabic"/>
          <w:b/>
          <w:bCs/>
          <w:i w:val="false"/>
          <w:iCs w:val="false"/>
          <w:sz w:val="28"/>
          <w:szCs w:val="28"/>
          <w:rtl/>
        </w:rPr>
        <w:t xml:space="preserve">اذهبْ فأنت حُرّ، ولا يسمعُ بخبرك أحد</w:t>
      </w:r>
      <w:r>
        <w:rPr>
          <w:rFonts w:ascii="Traditional Arabic" w:cs="Traditional Arabic" w:eastAsia="Traditional Arabic" w:hAnsi="Traditional Arabic"/>
          <w:b w:val="false"/>
          <w:bCs w:val="false"/>
          <w:i w:val="false"/>
          <w:iCs w:val="false"/>
          <w:sz w:val="28"/>
          <w:szCs w:val="28"/>
          <w:rtl/>
        </w:rPr>
        <w:t xml:space="preserve">.</w:t>
      </w:r>
      <w:r>
        <w:rPr>
          <w:rStyle w:val="FootnoteReference"/>
        </w:rPr>
        <w:footnoteReference w:id="7"/>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ثانيًا: الإعراضُ عن الجاهلين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w:t>
      </w:r>
      <w:r>
        <w:rPr>
          <w:rFonts w:ascii="Traditional Arabic" w:cs="Traditional Arabic" w:eastAsia="Traditional Arabic" w:hAnsi="Traditional Arabic"/>
          <w:b/>
          <w:bCs/>
          <w:i w:val="false"/>
          <w:iCs w:val="false"/>
          <w:sz w:val="28"/>
          <w:szCs w:val="28"/>
          <w:rtl/>
        </w:rPr>
        <w:t xml:space="preserve">﴿خُذِ الْعَفْوَ وَأْمُرْ بِالْعُرْفِ وَأَعْرِضْ عَنِ الْجَاهِلِينَ﴾</w:t>
      </w:r>
      <w:r>
        <w:rPr>
          <w:rFonts w:ascii="Traditional Arabic" w:cs="Traditional Arabic" w:eastAsia="Traditional Arabic" w:hAnsi="Traditional Arabic"/>
          <w:b w:val="false"/>
          <w:bCs w:val="false"/>
          <w:i w:val="false"/>
          <w:iCs w:val="false"/>
          <w:sz w:val="28"/>
          <w:szCs w:val="28"/>
          <w:rtl/>
        </w:rPr>
        <w:t xml:space="preserve">. فهذا الذي آذاك وسبَّك وضايقك — جاهلٌ فأعرِضْ عنه، </w:t>
      </w:r>
      <w:r>
        <w:rPr>
          <w:rFonts w:ascii="Traditional Arabic" w:cs="Traditional Arabic" w:eastAsia="Traditional Arabic" w:hAnsi="Traditional Arabic"/>
          <w:b/>
          <w:bCs/>
          <w:i w:val="false"/>
          <w:iCs w:val="false"/>
          <w:sz w:val="28"/>
          <w:szCs w:val="28"/>
          <w:rtl/>
        </w:rPr>
        <w:t xml:space="preserve">حرصًا على سلامة قلبك لا عجزًا عن ردِّه</w:t>
      </w:r>
      <w:r>
        <w:rPr>
          <w:rFonts w:ascii="Traditional Arabic" w:cs="Traditional Arabic" w:eastAsia="Traditional Arabic" w:hAnsi="Traditional Arabic"/>
          <w:b w:val="false"/>
          <w:bCs w:val="false"/>
          <w:i w:val="false"/>
          <w:iCs w:val="false"/>
          <w:sz w:val="28"/>
          <w:szCs w:val="28"/>
          <w:rtl/>
        </w:rPr>
        <w:t xml:space="preserve">. وكم من جريمةِ قتلٍ سببُها مرورُ سيّارةٍ مسرعة أو رفعُ صوت! ولو أُعرِض عن الجاهل لانتهت القضية.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وجاء رجلٌ إلى الأحنف بن قيس في خصومةٍ فقال: لئن سببتَني مرّةً لأسبَّنك عشرًا! فقال الأحنف: </w:t>
      </w:r>
      <w:r>
        <w:rPr>
          <w:rFonts w:ascii="Traditional Arabic" w:cs="Traditional Arabic" w:eastAsia="Traditional Arabic" w:hAnsi="Traditional Arabic"/>
          <w:b/>
          <w:bCs/>
          <w:i w:val="false"/>
          <w:iCs w:val="false"/>
          <w:sz w:val="28"/>
          <w:szCs w:val="28"/>
          <w:rtl/>
        </w:rPr>
        <w:t xml:space="preserve">ولئن سببتَني عشرًا فلن تسمع منّي واحدة</w:t>
      </w:r>
      <w:r>
        <w:rPr>
          <w:rFonts w:ascii="Traditional Arabic" w:cs="Traditional Arabic" w:eastAsia="Traditional Arabic" w:hAnsi="Traditional Arabic"/>
          <w:b w:val="false"/>
          <w:bCs w:val="false"/>
          <w:i w:val="false"/>
          <w:iCs w:val="false"/>
          <w:sz w:val="28"/>
          <w:szCs w:val="28"/>
          <w:rtl/>
        </w:rPr>
        <w:t xml:space="preserve">. وهذا الإمام أحمدُ عُذِّب وجُلِد، ثم قال: </w:t>
      </w:r>
      <w:r>
        <w:rPr>
          <w:rFonts w:ascii="Traditional Arabic" w:cs="Traditional Arabic" w:eastAsia="Traditional Arabic" w:hAnsi="Traditional Arabic"/>
          <w:b/>
          <w:bCs/>
          <w:i w:val="false"/>
          <w:iCs w:val="false"/>
          <w:sz w:val="28"/>
          <w:szCs w:val="28"/>
          <w:rtl/>
        </w:rPr>
        <w:t xml:space="preserve">كلُّ مَن آذاني فهو في حِلّ</w:t>
      </w:r>
      <w:r>
        <w:rPr>
          <w:rFonts w:ascii="Traditional Arabic" w:cs="Traditional Arabic" w:eastAsia="Traditional Arabic" w:hAnsi="Traditional Arabic"/>
          <w:b w:val="false"/>
          <w:bCs w:val="false"/>
          <w:i w:val="false"/>
          <w:iCs w:val="false"/>
          <w:sz w:val="28"/>
          <w:szCs w:val="28"/>
          <w:rtl/>
        </w:rPr>
        <w:t xml:space="preserve">. وشيخُ الإسلام ابنُ تيمية لمّا مات خصمُه الذي أفتى بقتله، جاءه تلميذُه يُبشِّره، فاسترجع وقال: </w:t>
      </w:r>
      <w:r>
        <w:rPr>
          <w:rFonts w:ascii="Traditional Arabic" w:cs="Traditional Arabic" w:eastAsia="Traditional Arabic" w:hAnsi="Traditional Arabic"/>
          <w:b/>
          <w:bCs/>
          <w:i w:val="false"/>
          <w:iCs w:val="false"/>
          <w:sz w:val="28"/>
          <w:szCs w:val="28"/>
          <w:rtl/>
        </w:rPr>
        <w:t xml:space="preserve">بشَّرتني بموت رجلٍ من المسلمين؟</w:t>
      </w:r>
      <w:r>
        <w:rPr>
          <w:rFonts w:ascii="Traditional Arabic" w:cs="Traditional Arabic" w:eastAsia="Traditional Arabic" w:hAnsi="Traditional Arabic"/>
          <w:b w:val="false"/>
          <w:bCs w:val="false"/>
          <w:i w:val="false"/>
          <w:iCs w:val="false"/>
          <w:sz w:val="28"/>
          <w:szCs w:val="28"/>
          <w:rtl/>
        </w:rPr>
        <w:t xml:space="preserve"> ثم ذهب إلى أهله فقال: أنا لكم مكانَه.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ثالثًا: الدعاءُ لمن أساء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من أحسن وسائل العلاج: أن تدعوَ لمن آذاك في حضرته وغيبته، في سرّك ونجواك. والنبيُّ ﷺ يقول: </w:t>
      </w:r>
      <w:r>
        <w:rPr>
          <w:rFonts w:ascii="Traditional Arabic" w:cs="Traditional Arabic" w:eastAsia="Traditional Arabic" w:hAnsi="Traditional Arabic"/>
          <w:b/>
          <w:bCs/>
          <w:i w:val="false"/>
          <w:iCs w:val="false"/>
          <w:sz w:val="28"/>
          <w:szCs w:val="28"/>
          <w:rtl/>
        </w:rPr>
        <w:t xml:space="preserve">«تهادَوا تحابُّوا»</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 — وأيُّ هديّةٍ أعظمُ من الدعاء؟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عبدُ الله بنُ مسعودٍ ﵁ سُرِق مالُه في السوق، فما قال: اللهمّ مزِّقه وشُلَّ أركانَه! بل قال: </w:t>
      </w:r>
      <w:r>
        <w:rPr>
          <w:rFonts w:ascii="Traditional Arabic" w:cs="Traditional Arabic" w:eastAsia="Traditional Arabic" w:hAnsi="Traditional Arabic"/>
          <w:b/>
          <w:bCs/>
          <w:i w:val="false"/>
          <w:iCs w:val="false"/>
          <w:sz w:val="28"/>
          <w:szCs w:val="28"/>
          <w:rtl/>
        </w:rPr>
        <w:t xml:space="preserve">اللهمّ إن كان أخذه لحاجةٍ فبارِكْ له فيه، وإن كان أخذه جُرأةً على الذنب فاجعلْه آخِرَ ذنوبه</w:t>
      </w:r>
      <w:r>
        <w:rPr>
          <w:rFonts w:ascii="Traditional Arabic" w:cs="Traditional Arabic" w:eastAsia="Traditional Arabic" w:hAnsi="Traditional Arabic"/>
          <w:b w:val="false"/>
          <w:bCs w:val="false"/>
          <w:i w:val="false"/>
          <w:iCs w:val="false"/>
          <w:sz w:val="28"/>
          <w:szCs w:val="28"/>
          <w:rtl/>
        </w:rPr>
        <w:t xml:space="preserve">. وهذا زينُ العابدين سبَّه رجلٌ في مجلسٍ فلم يُجِبه، ثم أتاه ليلًا فقال: </w:t>
      </w:r>
      <w:r>
        <w:rPr>
          <w:rFonts w:ascii="Traditional Arabic" w:cs="Traditional Arabic" w:eastAsia="Traditional Arabic" w:hAnsi="Traditional Arabic"/>
          <w:b/>
          <w:bCs/>
          <w:i w:val="false"/>
          <w:iCs w:val="false"/>
          <w:sz w:val="28"/>
          <w:szCs w:val="28"/>
          <w:rtl/>
        </w:rPr>
        <w:t xml:space="preserve">لئن كنتَ صادقًا فيما قلتَ فاللهمّ اغفر لي، ولئن كنتَ كاذبًا فاللهمّ اغفر لك</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فجرِّبْ — يا مسلم — أن تدعوَ لمن أساء إليك في سجودك، </w:t>
      </w:r>
      <w:r>
        <w:rPr>
          <w:rFonts w:ascii="Traditional Arabic" w:cs="Traditional Arabic" w:eastAsia="Traditional Arabic" w:hAnsi="Traditional Arabic"/>
          <w:b/>
          <w:bCs/>
          <w:i w:val="false"/>
          <w:iCs w:val="false"/>
          <w:sz w:val="28"/>
          <w:szCs w:val="28"/>
          <w:rtl/>
        </w:rPr>
        <w:t xml:space="preserve">وسترى كيف ينقلبُ ما في قلبك؛ فإنّ الشيطانَ إنما يريدُ التحريشَ بيننا</w:t>
      </w:r>
      <w:r>
        <w:rPr>
          <w:rFonts w:ascii="Traditional Arabic" w:cs="Traditional Arabic" w:eastAsia="Traditional Arabic" w:hAnsi="Traditional Arabic"/>
          <w:b w:val="false"/>
          <w:bCs w:val="false"/>
          <w:i w:val="false"/>
          <w:iCs w:val="false"/>
          <w:sz w:val="28"/>
          <w:szCs w:val="28"/>
          <w:rtl/>
        </w:rPr>
        <w:t xml:space="preserve">. وحتى كلمةُ «الغِلّ» — من أين جاءت؟ من الأغلالِ التي تُقيِّد قلبك!</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العليَّ الأعلى أن يرزقنا قلوبًا سليمة، وأن يُزيل من صدورنا الشحناءَ والبغضاءَ التي تحرقُ الحسنات.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أخبارُ يحيى بن يحيى الليثي (ت ٢٣٤هـ) في «ترتيب المدارك» للقاضي عياض، و«سير أعلام النبلاء» للذهبي. وقصّةُ الفيل مشهورةٌ في ترجمته، وهي من أخبار التراجم لا من المرفوع.</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وأحمد والبيهقي من حديث أبي هريرة، وحسّنه الألباني في «صحيح الترغيب والترهيب» (١٠٨٣) وقال: حسن صحيح. وله شاهدٌ من حديث ابن عمر عند الطبراني، قال الألباني: صحيح لغيره.</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(٢٦٤١) وأبو داود وابن ماجه من طرق. وحسّنه الألباني في «صحيح الجامع» (١٠٨٣) و«سلسلة الأحاديث الصحيحة» (٢٠٣، ١٤٩٢).</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(٢٣٤٦) وابن ماجه (٤١٤١) من حديث عبيد الله بن مِحصَن ﵁، وحسّنه الألباني في «صحيح الجامع» (٦٠٤٢) و«السلسلة الصحيحة» (٢٣١٨).</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يُروى في ترجمة أبي قِلابة الجَرْمي عند ابن حبان في «الثقات» وغيره، وفي إسناده ومتنه نظر، وليس من المرفوع. وإنما يُذكر للاعتبار والاتّعاظ لا للاحتجاج، والأصلُ في الباب الآياتُ والأحاديثُ المتقدّمة.</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(٤٢١٦) من حديث عبد الله بن عمرو ﵄، وصحّحه الألباني في «صحيح الجامع» (٣٢٩١) و«السلسلة الصحيحة» (٩٤٨).</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هذه الأخبار في كتب التراجم والسِّيَر: «سير أعلام النبلاء» للذهبي، و«حلية الأولياء» لأبي نعيم، و«صفة الصفوة» لابن الجوزي. وهي من أخبار الزهد والرقائق يُتسامح في أسانيدها، ولا يُبنى عليها حكمٌ شرعيّ.</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البخاري في «الأدب المفرد» (٥٩٤) وأبو يعلى والبيهقي من حديث أبي هريرة ﵁، وحسّنه الألباني في «صحيح الأدب المفرد» (٤٦٣) و«الإرواء» (١٦٠١).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﴿ادْفَعْ بِالَّتِي هِيَ أَحْسَنُ﴾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2026-08-01T09:24:10.846Z</dcterms:created>
  <dcterms:modified xsi:type="dcterms:W3CDTF">2026-08-01T09:24:10.846Z</dcterms:modified>
</cp:coreProperties>
</file>

<file path=docProps/custom.xml><?xml version="1.0" encoding="utf-8"?>
<Properties xmlns="http://schemas.openxmlformats.org/officeDocument/2006/custom-properties" xmlns:vt="http://schemas.openxmlformats.org/officeDocument/2006/docPropsVTypes"/>
</file>