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بِرُّ الوالدَين: منزلتُه وصُوَرُه</w:t>
      </w:r>
    </w:p>
    <w:p>
      <w:pPr>
        <w:spacing w:after="120"/>
      </w:pPr>
      <w:r>
        <w:rPr>
          <w:color w:val="8A6A1F"/>
          <w:sz w:val="36"/>
          <w:szCs w:val="36"/>
        </w:rPr>
        <w:t xml:space="preserve">قرْنُ الحقِّ بالتوحيد، ورِضا الربّ، وأعظمُ القُرُبات ـ ثم صُوَرُ البِرّ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w:t>
      </w:r>
      <w:r>
        <w:rPr>
          <w:b/>
          <w:bCs/>
          <w:color w:val="1F5C3A"/>
          <w:sz w:val="36"/>
          <w:szCs w:val="36"/>
        </w:rPr>
        <w:t xml:space="preserve">«ولا بزَفْرةٍ واحدة»</w:t>
      </w:r>
    </w:p>
    <w:p>
      <w:pPr>
        <w:spacing w:after="140" w:line="340" w:lineRule="auto"/>
        <w:jc w:val="both"/>
      </w:pPr>
      <w:r>
        <w:rPr>
          <w:color w:val="1A1A1A"/>
          <w:sz w:val="36"/>
          <w:szCs w:val="36"/>
        </w:rPr>
        <w:t xml:space="preserve">وبعدُ، أحبَّتي في الله: يسيرُ في الفلاةِ وحِملُه على ظهرِه؛ كلَّما بلغَ منه الجَهدُ مَبلغَه أنزلَه فالتقطَ الأنفاسَ ثم احتمَلَه ومضى. فلمّا انتهى إلى البيتِ طافَ وسعى وهو يُردِّد:</w:t>
      </w:r>
    </w:p>
    <w:p>
      <w:pPr>
        <w:pBdr>
          <w:right w:val="single" w:sz="12" w:space="10" w:color="8A6A1F"/>
        </w:pBdr>
        <w:spacing w:before="120" w:after="160" w:line="320" w:lineRule="auto"/>
        <w:ind w:left="504" w:right="504"/>
        <w:jc w:val="both"/>
      </w:pPr>
      <w:r>
        <w:rPr>
          <w:b/>
          <w:bCs/>
          <w:color w:val="1F5C3A"/>
          <w:sz w:val="36"/>
          <w:szCs w:val="36"/>
        </w:rPr>
        <w:t xml:space="preserve">إني لها بَعيرُها المُذَلَّلُ ... إن أُذعِرَتْ رِكابُها لم أُذعَرِ</w:t>
      </w:r>
    </w:p>
    <w:p>
      <w:pPr>
        <w:pBdr>
          <w:right w:val="single" w:sz="12" w:space="10" w:color="8A6A1F"/>
        </w:pBdr>
        <w:spacing w:before="120" w:after="160" w:line="320" w:lineRule="auto"/>
        <w:ind w:left="504" w:right="504"/>
        <w:jc w:val="both"/>
      </w:pPr>
      <w:r>
        <w:rPr>
          <w:b/>
          <w:bCs/>
          <w:color w:val="1F5C3A"/>
          <w:sz w:val="36"/>
          <w:szCs w:val="36"/>
        </w:rPr>
        <w:t xml:space="preserve">أَحمِلُها وما حمَلَتْني أكثرُ ... اللهُ ربي ذو الجلالِ الأكبرُ</w:t>
      </w:r>
    </w:p>
    <w:p>
      <w:pPr>
        <w:spacing w:after="140" w:line="340" w:lineRule="auto"/>
        <w:jc w:val="both"/>
      </w:pPr>
      <w:r>
        <w:rPr>
          <w:color w:val="1A1A1A"/>
          <w:sz w:val="36"/>
          <w:szCs w:val="36"/>
        </w:rPr>
        <w:t xml:space="preserve">فيَراه عبدُ اللهِ بنُ عمرَ ﵄؛ فيدنو منه صاحبُنا فيقول: يا بنَ عمر، لقد بلَغَ من بِرّي بأمي ما رأيت ـ حمَلتُها من اليمنِ أقطَعُ بها الفيافيَ قاصدًا الحجّ ـ فهل تُراني أدَّيتُ حقَّها؟ فقال ابنُ عمرَ بلا ترَدُّد:</w:t>
      </w:r>
    </w:p>
    <w:p>
      <w:pPr>
        <w:pBdr>
          <w:right w:val="single" w:sz="12" w:space="10" w:color="8A6A1F"/>
        </w:pBdr>
        <w:spacing w:before="120" w:after="160" w:line="320" w:lineRule="auto"/>
        <w:ind w:left="504" w:right="504"/>
        <w:jc w:val="both"/>
      </w:pPr>
      <w:r>
        <w:rPr>
          <w:b/>
          <w:bCs/>
          <w:color w:val="1F5C3A"/>
          <w:sz w:val="36"/>
          <w:szCs w:val="36"/>
        </w:rPr>
        <w:t xml:space="preserve">«لا، ولا بزَفْرةٍ واحدة»</w:t>
      </w:r>
      <w:r>
        <w:rPr>
          <w:rStyle w:val="a5"/>
          <w:sz w:val="36"/>
          <w:szCs w:val="36"/>
        </w:rPr>
        <w:footnoteReference w:id="1"/>
      </w:r>
    </w:p>
    <w:p>
      <w:pPr>
        <w:spacing w:after="140" w:line="340" w:lineRule="auto"/>
        <w:jc w:val="both"/>
      </w:pPr>
      <w:r>
        <w:rPr>
          <w:color w:val="1A1A1A"/>
          <w:sz w:val="36"/>
          <w:szCs w:val="36"/>
        </w:rPr>
        <w:t xml:space="preserve">زلزَلَتْ هذه الكلماتُ قلبَ صاحبِنا كما زلزلَتْ قلوبَكم الآن. وأنا لا أُخاطِبُ العاقَّ؛ إنما أُخاطِبُ **البارِّين**: إنّ كلَّ ما قدَّمتَه لا يَعدِلُ زَفرةً واحدةً زفَرَتْها أمُّك!</w:t>
      </w:r>
    </w:p>
    <w:p>
      <w:pPr>
        <w:spacing w:after="140" w:line="340" w:lineRule="auto"/>
        <w:jc w:val="both"/>
      </w:pPr>
      <w:r>
        <w:rPr>
          <w:color w:val="1A1A1A"/>
          <w:sz w:val="36"/>
          <w:szCs w:val="36"/>
        </w:rPr>
        <w:t xml:space="preserve">فتعالَ معي لنتذكَّرَ فضلَ البِرِّ وصُوَرَه.</w:t>
      </w:r>
    </w:p>
    <w:p>
      <w:pPr>
        <w:spacing w:before="260" w:after="120"/>
      </w:pPr>
      <w:r>
        <w:rPr>
          <w:b/>
          <w:bCs/>
          <w:color w:val="1F5C3A"/>
          <w:sz w:val="36"/>
          <w:szCs w:val="36"/>
        </w:rPr>
        <w:t xml:space="preserve">أولًا: من فضائلِ البِرّ</w:t>
      </w:r>
    </w:p>
    <w:p>
      <w:pPr>
        <w:spacing w:before="200" w:after="100"/>
      </w:pPr>
      <w:r>
        <w:rPr>
          <w:b/>
          <w:bCs/>
          <w:color w:val="1A1A1A"/>
          <w:sz w:val="36"/>
          <w:szCs w:val="36"/>
        </w:rPr>
        <w:t xml:space="preserve">١) قرْنُ حقِّهما بحقِّ الله</w:t>
      </w:r>
    </w:p>
    <w:p>
      <w:pPr>
        <w:spacing w:after="140" w:line="340" w:lineRule="auto"/>
        <w:jc w:val="both"/>
      </w:pPr>
      <w:r>
        <w:rPr>
          <w:color w:val="1A1A1A"/>
          <w:sz w:val="36"/>
          <w:szCs w:val="36"/>
        </w:rPr>
        <w:t xml:space="preserve">فلا يُوجَدُ حقٌّ لمخلوقٍ أعظمُ من حقِّ الوالدَين؛ قال تعالى:</w:t>
      </w:r>
    </w:p>
    <w:p>
      <w:pPr>
        <w:pBdr>
          <w:right w:val="single" w:sz="12" w:space="10" w:color="8A6A1F"/>
        </w:pBdr>
        <w:spacing w:before="120" w:after="160" w:line="320" w:lineRule="auto"/>
        <w:ind w:left="504" w:right="504"/>
        <w:jc w:val="both"/>
      </w:pPr>
      <w:r>
        <w:rPr>
          <w:b/>
          <w:bCs/>
          <w:color w:val="8A6A1F"/>
          <w:sz w:val="36"/>
          <w:szCs w:val="36"/>
        </w:rPr>
        <w:t xml:space="preserve">﴿وَقَضَىٰ رَبُّكَ أَلَّا تَعْبُدُوا إِلَّا إِيَّاهُ وَبِالْوَالِدَيْنِ إِحْسَانًا﴾</w:t>
      </w:r>
    </w:p>
    <w:p>
      <w:pPr>
        <w:spacing w:after="140" w:line="340" w:lineRule="auto"/>
        <w:jc w:val="both"/>
      </w:pPr>
      <w:r>
        <w:rPr>
          <w:color w:val="1A1A1A"/>
          <w:sz w:val="36"/>
          <w:szCs w:val="36"/>
        </w:rPr>
        <w:t xml:space="preserve">فأعظمُ حقٍّ للهِ إفرادُه بالعبادة، فذكَرَه ثم عطَفَ عليه البِرَّ بالوالدَين؛ لأنه أعظمُ حقوقِ المخلوقين. فمن لم يكُنْ بارًّا بوالدَيه فما عظَّمَ اللهَ حقَّ التعظيم.</w:t>
      </w:r>
    </w:p>
    <w:p>
      <w:pPr>
        <w:spacing w:before="200" w:after="100"/>
      </w:pPr>
      <w:r>
        <w:rPr>
          <w:b/>
          <w:bCs/>
          <w:color w:val="1A1A1A"/>
          <w:sz w:val="36"/>
          <w:szCs w:val="36"/>
        </w:rPr>
        <w:t xml:space="preserve">٢) أنه سببُ رِضا الله</w:t>
      </w:r>
    </w:p>
    <w:p>
      <w:pPr>
        <w:spacing w:after="140" w:line="340" w:lineRule="auto"/>
        <w:jc w:val="both"/>
      </w:pPr>
      <w:r>
        <w:rPr>
          <w:color w:val="1A1A1A"/>
          <w:sz w:val="36"/>
          <w:szCs w:val="36"/>
        </w:rPr>
        <w:t xml:space="preserve">نحن لِمَ نُصلِّي ونصوم؟ بحثًا عن رِضا الله. واسمَعْ ـ أيها البعيد ـ إنّ بوّابةَ الرِّضا مُشرَعةٌ على بابِ الوالدَين؛ قال ﷺ:</w:t>
      </w:r>
    </w:p>
    <w:p>
      <w:pPr>
        <w:pBdr>
          <w:right w:val="single" w:sz="12" w:space="10" w:color="8A6A1F"/>
        </w:pBdr>
        <w:spacing w:before="120" w:after="160" w:line="320" w:lineRule="auto"/>
        <w:ind w:left="504" w:right="504"/>
        <w:jc w:val="both"/>
      </w:pPr>
      <w:r>
        <w:rPr>
          <w:b/>
          <w:bCs/>
          <w:color w:val="1F5C3A"/>
          <w:sz w:val="36"/>
          <w:szCs w:val="36"/>
        </w:rPr>
        <w:t xml:space="preserve">«رِضا الربِّ في رِضا الوالد، وسَخَطُ الربِّ في سَخَطِ الوالد»</w:t>
      </w:r>
      <w:r>
        <w:rPr>
          <w:rStyle w:val="a5"/>
          <w:sz w:val="36"/>
          <w:szCs w:val="36"/>
        </w:rPr>
        <w:footnoteReference w:id="2"/>
      </w:r>
    </w:p>
    <w:p>
      <w:pPr>
        <w:spacing w:after="140" w:line="340" w:lineRule="auto"/>
        <w:jc w:val="both"/>
      </w:pPr>
      <w:r>
        <w:rPr>
          <w:color w:val="1A1A1A"/>
          <w:sz w:val="36"/>
          <w:szCs w:val="36"/>
        </w:rPr>
        <w:t xml:space="preserve">وواللهِ لا أعلمُ كلماتٍ تُدخِلُ السرورَ على قلبِ العبدِ مثلَ أن يقولَ له والدُه: **رضيَ اللهُ عنك**. فأسألُك بالله: كم مرَّةً رضيَ عنك والداك، وكم مرَّةً سخِطا عليك؟ نبحثُ عن التوفيقِ ونحن نتفيَّأُ ظِلالَ السخَط!</w:t>
      </w:r>
    </w:p>
    <w:p>
      <w:pPr>
        <w:spacing w:before="200" w:after="100"/>
      </w:pPr>
      <w:r>
        <w:rPr>
          <w:b/>
          <w:bCs/>
          <w:color w:val="1A1A1A"/>
          <w:sz w:val="36"/>
          <w:szCs w:val="36"/>
        </w:rPr>
        <w:t xml:space="preserve">٣) أنه من أعظمِ القُرُباتِ وأكبرِ الكبائرِ عقوقُه</w:t>
      </w:r>
    </w:p>
    <w:p>
      <w:pPr>
        <w:spacing w:after="140" w:line="340" w:lineRule="auto"/>
        <w:jc w:val="both"/>
      </w:pPr>
      <w:r>
        <w:rPr>
          <w:color w:val="1A1A1A"/>
          <w:sz w:val="36"/>
          <w:szCs w:val="36"/>
        </w:rPr>
        <w:t xml:space="preserve">فهذا نبيُّكم ﷺ يقول:</w:t>
      </w:r>
    </w:p>
    <w:p>
      <w:pPr>
        <w:pBdr>
          <w:right w:val="single" w:sz="12" w:space="10" w:color="8A6A1F"/>
        </w:pBdr>
        <w:spacing w:before="120" w:after="160" w:line="320" w:lineRule="auto"/>
        <w:ind w:left="504" w:right="504"/>
        <w:jc w:val="both"/>
      </w:pPr>
      <w:r>
        <w:rPr>
          <w:b/>
          <w:bCs/>
          <w:color w:val="1F5C3A"/>
          <w:sz w:val="36"/>
          <w:szCs w:val="36"/>
        </w:rPr>
        <w:t xml:space="preserve">«ألا أُنبِّئُكم بأكبرِ الكبائر؟»</w:t>
      </w:r>
      <w:r>
        <w:rPr>
          <w:b/>
          <w:bCs/>
          <w:color w:val="1F5C3A"/>
          <w:sz w:val="36"/>
          <w:szCs w:val="36"/>
        </w:rPr>
        <w:t xml:space="preserve"> قلنا: بلى يا رسولَ الله. قال: </w:t>
      </w:r>
      <w:r>
        <w:rPr>
          <w:b/>
          <w:bCs/>
          <w:color w:val="1F5C3A"/>
          <w:sz w:val="36"/>
          <w:szCs w:val="36"/>
        </w:rPr>
        <w:t xml:space="preserve">«الإشراكُ بالله، وعقوقُ الوالدَين»</w:t>
      </w:r>
      <w:r>
        <w:rPr>
          <w:b/>
          <w:bCs/>
          <w:color w:val="1F5C3A"/>
          <w:sz w:val="36"/>
          <w:szCs w:val="36"/>
        </w:rPr>
        <w:t xml:space="preserve"> ـ وكان مُتَّكِئًا فجلَسَ فقال: </w:t>
      </w:r>
      <w:r>
        <w:rPr>
          <w:b/>
          <w:bCs/>
          <w:color w:val="1F5C3A"/>
          <w:sz w:val="36"/>
          <w:szCs w:val="36"/>
        </w:rPr>
        <w:t xml:space="preserve">«ألا وقولُ الزُّور»</w:t>
      </w:r>
      <w:r>
        <w:rPr>
          <w:rStyle w:val="a5"/>
          <w:sz w:val="36"/>
          <w:szCs w:val="36"/>
        </w:rPr>
        <w:footnoteReference w:id="3"/>
      </w:r>
    </w:p>
    <w:p>
      <w:pPr>
        <w:spacing w:after="140" w:line="340" w:lineRule="auto"/>
        <w:jc w:val="both"/>
      </w:pPr>
      <w:r>
        <w:rPr>
          <w:color w:val="1A1A1A"/>
          <w:sz w:val="36"/>
          <w:szCs w:val="36"/>
        </w:rPr>
        <w:t xml:space="preserve">فإذا كان العقوقُ قرينَ الشِّرك، فما ظنُّك بالبِرِّ في مقابلِه؟</w:t>
      </w:r>
    </w:p>
    <w:p>
      <w:pPr>
        <w:spacing w:before="200" w:after="100"/>
      </w:pPr>
      <w:r>
        <w:rPr>
          <w:b/>
          <w:bCs/>
          <w:color w:val="1A1A1A"/>
          <w:sz w:val="36"/>
          <w:szCs w:val="36"/>
        </w:rPr>
        <w:t xml:space="preserve">٤) أنه يُبلِّغُ المنازلَ العالية</w:t>
      </w:r>
    </w:p>
    <w:p>
      <w:pPr>
        <w:spacing w:after="140" w:line="340" w:lineRule="auto"/>
        <w:jc w:val="both"/>
      </w:pPr>
      <w:r>
        <w:rPr>
          <w:color w:val="1A1A1A"/>
          <w:sz w:val="36"/>
          <w:szCs w:val="36"/>
        </w:rPr>
        <w:t xml:space="preserve">ورُوِيَ أنّ النبيَّ ﷺ سمِعَ في المنامِ قراءةَ **حارثةَ بنِ النعمانِ ﵁** في الجنة، فقال: **</w:t>
      </w:r>
      <w:r>
        <w:rPr>
          <w:b/>
          <w:bCs/>
          <w:color w:val="1F5C3A"/>
          <w:sz w:val="36"/>
          <w:szCs w:val="36"/>
        </w:rPr>
        <w:t xml:space="preserve">«كذلكمُ البِرّ»</w:t>
      </w:r>
      <w:r>
        <w:rPr>
          <w:color w:val="1A1A1A"/>
          <w:sz w:val="36"/>
          <w:szCs w:val="36"/>
        </w:rPr>
        <w:t xml:space="preserve">** ـ وكان أبَرَّ الناسِ بأمِّه.</w:t>
      </w:r>
      <w:r>
        <w:rPr>
          <w:rStyle w:val="a5"/>
          <w:sz w:val="36"/>
          <w:szCs w:val="36"/>
        </w:rPr>
        <w:footnoteReference w:id="4"/>
      </w:r>
    </w:p>
    <w:p>
      <w:pPr>
        <w:spacing w:after="140" w:line="340" w:lineRule="auto"/>
        <w:jc w:val="both"/>
      </w:pPr>
      <w:r>
        <w:rPr>
          <w:color w:val="1A1A1A"/>
          <w:sz w:val="36"/>
          <w:szCs w:val="36"/>
        </w:rPr>
        <w:t xml:space="preserve">وأخرجَ مسلمٌ حديثَ **أُوَيسٍ القَرَنيِّ** ﵀؛ رجلٌ من اليمنِ منَعَه بِرُّ أمِّه من الهجرةِ والحَظوةِ بشرَفِ الصحبة، فقدَّمَه صاحبُ الصحبةِ ﷺ حتى أوصى عمرَ ﵁ أن يطلُبَ منه الاستغفار:</w:t>
      </w:r>
    </w:p>
    <w:p>
      <w:pPr>
        <w:pBdr>
          <w:right w:val="single" w:sz="12" w:space="10" w:color="8A6A1F"/>
        </w:pBdr>
        <w:spacing w:before="120" w:after="160" w:line="320" w:lineRule="auto"/>
        <w:ind w:left="504" w:right="504"/>
        <w:jc w:val="both"/>
      </w:pPr>
      <w:r>
        <w:rPr>
          <w:b/>
          <w:bCs/>
          <w:color w:val="1F5C3A"/>
          <w:sz w:val="36"/>
          <w:szCs w:val="36"/>
        </w:rPr>
        <w:t xml:space="preserve">«يأتي عليكم أُوَيسُ بنُ عامرٍ مع أمدادِ أهلِ اليمن... كان به بَرَصٌ فبَرَأَ منه إلا موضعَ دِرهم، له والدةٌ هو بها بَرّ؛ لو أقسمَ على اللهِ لَأبَرَّه. فإنِ استطعتَ أن يستغفِرَ لك فافعَلْ»</w:t>
      </w:r>
      <w:r>
        <w:rPr>
          <w:rStyle w:val="a5"/>
          <w:sz w:val="36"/>
          <w:szCs w:val="36"/>
        </w:rPr>
        <w:footnoteReference w:id="5"/>
      </w:r>
    </w:p>
    <w:p>
      <w:pPr>
        <w:spacing w:after="140" w:line="340" w:lineRule="auto"/>
        <w:jc w:val="both"/>
      </w:pPr>
      <w:r>
        <w:rPr>
          <w:color w:val="1A1A1A"/>
          <w:sz w:val="36"/>
          <w:szCs w:val="36"/>
        </w:rPr>
        <w:t xml:space="preserve">فمن أرادَ الرِّفعةَ فليكُنْ بارًّا بأمِّه وأبيه.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 البِرّ؟</w:t>
      </w:r>
    </w:p>
    <w:p>
      <w:pPr>
        <w:spacing w:after="140" w:line="340" w:lineRule="auto"/>
        <w:jc w:val="both"/>
      </w:pPr>
      <w:r>
        <w:rPr>
          <w:color w:val="1A1A1A"/>
          <w:sz w:val="36"/>
          <w:szCs w:val="36"/>
        </w:rPr>
        <w:t xml:space="preserve">يُعرِّفُه العلماءُ بأنه **كلُّ ما يُدخِلُ الفرحَ والسرورَ على والدَيك بطريقةٍ مشروعة**؛ وضِدُّه العقوقُ: كلُّ ما يُدخِلُ عليهما الحزنَ والغضب.</w:t>
      </w:r>
    </w:p>
    <w:p>
      <w:pPr>
        <w:spacing w:before="260" w:after="120"/>
      </w:pPr>
      <w:r>
        <w:rPr>
          <w:b/>
          <w:bCs/>
          <w:color w:val="1F5C3A"/>
          <w:sz w:val="36"/>
          <w:szCs w:val="36"/>
        </w:rPr>
        <w:t xml:space="preserve">ثانيًا: بِرُّ اللسان</w:t>
      </w:r>
    </w:p>
    <w:p>
      <w:pPr>
        <w:spacing w:after="140" w:line="340" w:lineRule="auto"/>
        <w:jc w:val="both"/>
      </w:pPr>
      <w:r>
        <w:rPr>
          <w:b/>
          <w:bCs/>
          <w:color w:val="8A6A1F"/>
          <w:sz w:val="36"/>
          <w:szCs w:val="36"/>
        </w:rPr>
        <w:t xml:space="preserve">﴿فَلَا تَقُل لَّهُمَا أُفٍّ وَلَا تَنْهَرْهُمَا وَقُل لَّهُمَا قَوْلًا كَرِيمًا﴾</w:t>
      </w:r>
      <w:r>
        <w:rPr>
          <w:color w:val="1A1A1A"/>
          <w:sz w:val="36"/>
          <w:szCs w:val="36"/>
        </w:rPr>
        <w:t xml:space="preserve">. و</w:t>
      </w:r>
      <w:r>
        <w:rPr>
          <w:b/>
          <w:bCs/>
          <w:color w:val="1F5C3A"/>
          <w:sz w:val="36"/>
          <w:szCs w:val="36"/>
        </w:rPr>
        <w:t xml:space="preserve">«أُفٍّ»</w:t>
      </w:r>
      <w:r>
        <w:rPr>
          <w:color w:val="1A1A1A"/>
          <w:sz w:val="36"/>
          <w:szCs w:val="36"/>
        </w:rPr>
        <w:t xml:space="preserve"> اسمُ فِعلٍ بمعنى: أتضجَّر؛ أنَّةٌ تخرُجُ من فَمِ من لم يعرِفِ البِرّ. فإذا كان اللهُ قد حرَّمَ عليك هذه الكلمة، فكيف بمن يسُبُّ ويشتُم؟!</w:t>
      </w:r>
    </w:p>
    <w:p>
      <w:pPr>
        <w:spacing w:after="140" w:line="340" w:lineRule="auto"/>
        <w:jc w:val="both"/>
      </w:pPr>
      <w:r>
        <w:rPr>
          <w:color w:val="1A1A1A"/>
          <w:sz w:val="36"/>
          <w:szCs w:val="36"/>
        </w:rPr>
        <w:t xml:space="preserve">وقد فسَّرَ سعيدُ بنُ المسيِّبِ ﵀ **</w:t>
      </w:r>
      <w:r>
        <w:rPr>
          <w:b/>
          <w:bCs/>
          <w:color w:val="1F5C3A"/>
          <w:sz w:val="36"/>
          <w:szCs w:val="36"/>
        </w:rPr>
        <w:t xml:space="preserve">«القولَ الكريم»</w:t>
      </w:r>
      <w:r>
        <w:rPr>
          <w:color w:val="1A1A1A"/>
          <w:sz w:val="36"/>
          <w:szCs w:val="36"/>
        </w:rPr>
        <w:t xml:space="preserve">** بقولِه: **قولُ العبدِ المُذنِبِ للسيِّدِ الفَظِّ الغليظ.**</w:t>
      </w:r>
      <w:r>
        <w:rPr>
          <w:rStyle w:val="a5"/>
          <w:sz w:val="36"/>
          <w:szCs w:val="36"/>
        </w:rPr>
        <w:footnoteReference w:id="6"/>
      </w:r>
    </w:p>
    <w:p>
      <w:pPr>
        <w:spacing w:after="140" w:line="340" w:lineRule="auto"/>
        <w:jc w:val="both"/>
      </w:pPr>
      <w:r>
        <w:rPr>
          <w:color w:val="1A1A1A"/>
          <w:sz w:val="36"/>
          <w:szCs w:val="36"/>
        </w:rPr>
        <w:t xml:space="preserve">وهذا رجلٌ من السلفِ دعَتْه أمُّه فقال: **لبَّيكِ جُعِلتُ فِداك**؛ ثم رأى أنه رفَعَ صوتَه عليها فأعتقَ عبيدًا كفّارةً لذلك.</w:t>
      </w:r>
      <w:r>
        <w:rPr>
          <w:rStyle w:val="a5"/>
          <w:sz w:val="36"/>
          <w:szCs w:val="36"/>
        </w:rPr>
        <w:footnoteReference w:id="7"/>
      </w:r>
    </w:p>
    <w:p>
      <w:pPr>
        <w:spacing w:after="140" w:line="340" w:lineRule="auto"/>
        <w:jc w:val="both"/>
      </w:pPr>
      <w:r>
        <w:rPr>
          <w:color w:val="1A1A1A"/>
          <w:sz w:val="36"/>
          <w:szCs w:val="36"/>
        </w:rPr>
        <w:t xml:space="preserve">**وحتى الشكوى** لا ينبغي أن تسمَعَها منك الأم. وهذا عبدُ اللهِ بنُ عَونٍ ﵀ مرِضَ فبلَغَه قُدومُ أمِّه، فتصنَّعَ العافيةَ ولبِسَ أحسنَ ثيابِه واستقبلَها على الباب؛ فلمّا انصرفَتْ مطمئنَّةً خرَّ مَغشيًّا عليه! فسُئل، فقال: **إنّ أنينَ الأبناءِ يقطَعُ قلوبَ الأمهات.**</w:t>
      </w:r>
    </w:p>
    <w:p>
      <w:pPr>
        <w:spacing w:after="140" w:line="340" w:lineRule="auto"/>
        <w:jc w:val="both"/>
      </w:pPr>
      <w:r>
        <w:rPr>
          <w:color w:val="1A1A1A"/>
          <w:sz w:val="36"/>
          <w:szCs w:val="36"/>
        </w:rPr>
        <w:t xml:space="preserve">فاليومَ الأمُّ محطَّةُ شكوى: الوضعُ سيِّئ، والراتبُ لا يكفي، والجيرانُ والأولاد! فأَظهِرِ العافيةَ واطلُبْ منها الدعاء.</w:t>
      </w:r>
    </w:p>
    <w:p>
      <w:pPr>
        <w:spacing w:before="260" w:after="120"/>
      </w:pPr>
      <w:r>
        <w:rPr>
          <w:b/>
          <w:bCs/>
          <w:color w:val="1F5C3A"/>
          <w:sz w:val="36"/>
          <w:szCs w:val="36"/>
        </w:rPr>
        <w:t xml:space="preserve">ثالثًا: بِرُّ الجوارح</w:t>
      </w:r>
    </w:p>
    <w:p>
      <w:pPr>
        <w:spacing w:after="140" w:line="340" w:lineRule="auto"/>
        <w:jc w:val="both"/>
      </w:pPr>
      <w:r>
        <w:rPr>
          <w:color w:val="1A1A1A"/>
          <w:sz w:val="36"/>
          <w:szCs w:val="36"/>
        </w:rPr>
        <w:t xml:space="preserve">أن تُلينَ لهما جانبَك وتخدُمَهما بيدِك: </w:t>
      </w:r>
      <w:r>
        <w:rPr>
          <w:b/>
          <w:bCs/>
          <w:color w:val="8A6A1F"/>
          <w:sz w:val="36"/>
          <w:szCs w:val="36"/>
        </w:rPr>
        <w:t xml:space="preserve">﴿وَاخْفِضْ لَهُمَا جَنَاحَ الذُّلِّ مِنَ الرَّحْمَةِ﴾</w:t>
      </w:r>
      <w:r>
        <w:rPr>
          <w:color w:val="1A1A1A"/>
          <w:sz w:val="36"/>
          <w:szCs w:val="36"/>
        </w:rPr>
        <w:t xml:space="preserve">. فما أمرَك اللهُ بالذُّلِّ إلا في هذا المقام!</w:t>
      </w:r>
    </w:p>
    <w:p>
      <w:pPr>
        <w:spacing w:after="140" w:line="340" w:lineRule="auto"/>
        <w:jc w:val="both"/>
      </w:pPr>
      <w:r>
        <w:rPr>
          <w:color w:val="1A1A1A"/>
          <w:sz w:val="36"/>
          <w:szCs w:val="36"/>
        </w:rPr>
        <w:t xml:space="preserve">أمّا أن تُقطِّبَ الجبينَ وتجلِسَ عند أمِّك ببدنِك وقلبُك وبصرُك مع جوّالِك ثم تحسَبُ نفسَك بارًّا ـ فلا.</w:t>
      </w:r>
    </w:p>
    <w:p>
      <w:pPr>
        <w:spacing w:after="140" w:line="340" w:lineRule="auto"/>
        <w:jc w:val="both"/>
      </w:pPr>
      <w:r>
        <w:rPr>
          <w:color w:val="1A1A1A"/>
          <w:sz w:val="36"/>
          <w:szCs w:val="36"/>
        </w:rPr>
        <w:t xml:space="preserve">وقد رُوِيَ أنّ رجلًا سألَ ابنَ عمرَ ﵄ فقال: بلَغَ من بِرّي بأمي أنّ ظهري مَطيَّةٌ لها؛ فإذا أحسَستُ بحاجتِها أَرخيتُ لها ظهري وصرَفتُ عنها بصري؛ فهل أدَّيتُ حقَّها؟ فقال: **لا؛ لأنها كانت تصنعُ بك ذلك وهي تتمنّى بقاءَك، وأنت تصنعُ بها وأنت تتمنّى ذهابَها.**</w:t>
      </w:r>
      <w:r>
        <w:rPr>
          <w:rStyle w:val="a5"/>
          <w:sz w:val="36"/>
          <w:szCs w:val="36"/>
        </w:rPr>
        <w:footnoteReference w:id="8"/>
      </w:r>
    </w:p>
    <w:p>
      <w:pPr>
        <w:spacing w:after="140" w:line="340" w:lineRule="auto"/>
        <w:jc w:val="both"/>
      </w:pPr>
      <w:r>
        <w:rPr>
          <w:color w:val="1A1A1A"/>
          <w:sz w:val="36"/>
          <w:szCs w:val="36"/>
        </w:rPr>
        <w:t xml:space="preserve">وقد بكى أحدُ السلفِ عند موتِ أمِّه بكاءً عجيبًا، فقيل له: ما يُبكيك؟ فقال: **كان لي بابانِ مفتوحانِ إلى الجنة، فأُغلِقَ أحدُهما.**</w:t>
      </w:r>
    </w:p>
    <w:p>
      <w:pPr>
        <w:spacing w:after="140" w:line="340" w:lineRule="auto"/>
        <w:jc w:val="both"/>
      </w:pPr>
      <w:r>
        <w:rPr>
          <w:color w:val="1A1A1A"/>
          <w:sz w:val="36"/>
          <w:szCs w:val="36"/>
        </w:rPr>
        <w:t xml:space="preserve">فمن كان أبواه حيَّينِ فليَغتنِمْ؛ فإنك لن تُدرِكَ مقدارَ فواتِ البِرِّ إلا إذا سكَتَ النبض.</w:t>
      </w:r>
    </w:p>
    <w:p>
      <w:pPr>
        <w:spacing w:before="260" w:after="120"/>
      </w:pPr>
      <w:r>
        <w:rPr>
          <w:b/>
          <w:bCs/>
          <w:color w:val="1F5C3A"/>
          <w:sz w:val="36"/>
          <w:szCs w:val="36"/>
        </w:rPr>
        <w:t xml:space="preserve">رابعًا: البِرُّ بعد الموت</w:t>
      </w:r>
    </w:p>
    <w:p>
      <w:pPr>
        <w:spacing w:after="140" w:line="340" w:lineRule="auto"/>
        <w:jc w:val="both"/>
      </w:pPr>
      <w:r>
        <w:rPr>
          <w:color w:val="1A1A1A"/>
          <w:sz w:val="36"/>
          <w:szCs w:val="36"/>
        </w:rPr>
        <w:t xml:space="preserve">فإن مات الأبُ والأمُّ فثمَّةَ بِرّ:</w:t>
      </w:r>
    </w:p>
    <w:p>
      <w:pPr>
        <w:spacing w:after="140" w:line="340" w:lineRule="auto"/>
        <w:jc w:val="both"/>
      </w:pPr>
      <w:r>
        <w:rPr>
          <w:color w:val="1A1A1A"/>
          <w:sz w:val="36"/>
          <w:szCs w:val="36"/>
        </w:rPr>
        <w:t xml:space="preserve">**أوَّلُه الدعاءُ والاستغفار:** </w:t>
      </w:r>
      <w:r>
        <w:rPr>
          <w:b/>
          <w:bCs/>
          <w:color w:val="8A6A1F"/>
          <w:sz w:val="36"/>
          <w:szCs w:val="36"/>
        </w:rPr>
        <w:t xml:space="preserve">﴿وَقُل رَّبِّ ارْحَمْهُمَا كَمَا رَبَّيَانِي صَغِيرًا﴾</w:t>
      </w:r>
      <w:r>
        <w:rPr>
          <w:color w:val="1A1A1A"/>
          <w:sz w:val="36"/>
          <w:szCs w:val="36"/>
        </w:rPr>
        <w:t xml:space="preserve">. وقد قال ﷺ:</w:t>
      </w:r>
    </w:p>
    <w:p>
      <w:pPr>
        <w:pBdr>
          <w:right w:val="single" w:sz="12" w:space="10" w:color="8A6A1F"/>
        </w:pBdr>
        <w:spacing w:before="120" w:after="160" w:line="320" w:lineRule="auto"/>
        <w:ind w:left="504" w:right="504"/>
        <w:jc w:val="both"/>
      </w:pPr>
      <w:r>
        <w:rPr>
          <w:b/>
          <w:bCs/>
          <w:color w:val="1F5C3A"/>
          <w:sz w:val="36"/>
          <w:szCs w:val="36"/>
        </w:rPr>
        <w:t xml:space="preserve">«إذا ماتَ الإنسانُ انقطعَ عنه عملُه إلا من ثلاث: صدقةٍ جارية، أو عِلمٍ يُنتفَعُ به، أو ولدٍ صالحٍ يدعو له»</w:t>
      </w:r>
      <w:r>
        <w:rPr>
          <w:rStyle w:val="a5"/>
          <w:sz w:val="36"/>
          <w:szCs w:val="36"/>
        </w:rPr>
        <w:footnoteReference w:id="9"/>
      </w:r>
    </w:p>
    <w:p>
      <w:pPr>
        <w:spacing w:after="140" w:line="340" w:lineRule="auto"/>
        <w:jc w:val="both"/>
      </w:pPr>
      <w:r>
        <w:rPr>
          <w:color w:val="1A1A1A"/>
          <w:sz w:val="36"/>
          <w:szCs w:val="36"/>
        </w:rPr>
        <w:t xml:space="preserve">**والثاني الصدقةُ عنهما؛** فقد سألَ رجلٌ النبيَّ ﷺ: إنّ أمي افتُلِتَتْ نفسُها ولم تُوصِ، وأظُنُّها لو تكلَّمَتْ تصدَّقت؛ أفلها أجرٌ إن تصدَّقتُ عنها؟ قال: **</w:t>
      </w:r>
      <w:r>
        <w:rPr>
          <w:b/>
          <w:bCs/>
          <w:color w:val="1F5C3A"/>
          <w:sz w:val="36"/>
          <w:szCs w:val="36"/>
        </w:rPr>
        <w:t xml:space="preserve">«نعم»</w:t>
      </w:r>
      <w:r>
        <w:rPr>
          <w:color w:val="1A1A1A"/>
          <w:sz w:val="36"/>
          <w:szCs w:val="36"/>
        </w:rPr>
        <w:t xml:space="preserve">**.</w:t>
      </w:r>
      <w:r>
        <w:rPr>
          <w:rStyle w:val="a5"/>
          <w:sz w:val="36"/>
          <w:szCs w:val="36"/>
        </w:rPr>
        <w:footnoteReference w:id="10"/>
      </w:r>
    </w:p>
    <w:p>
      <w:pPr>
        <w:spacing w:after="140" w:line="340" w:lineRule="auto"/>
        <w:jc w:val="both"/>
      </w:pPr>
      <w:r>
        <w:rPr>
          <w:color w:val="1A1A1A"/>
          <w:sz w:val="36"/>
          <w:szCs w:val="36"/>
        </w:rPr>
        <w:t xml:space="preserve">**والثالث صِلَةُ أهلِ وُدِّهما؛** قال ﷺ:</w:t>
      </w:r>
    </w:p>
    <w:p>
      <w:pPr>
        <w:pBdr>
          <w:right w:val="single" w:sz="12" w:space="10" w:color="8A6A1F"/>
        </w:pBdr>
        <w:spacing w:before="120" w:after="160" w:line="320" w:lineRule="auto"/>
        <w:ind w:left="504" w:right="504"/>
        <w:jc w:val="both"/>
      </w:pPr>
      <w:r>
        <w:rPr>
          <w:b/>
          <w:bCs/>
          <w:color w:val="1F5C3A"/>
          <w:sz w:val="36"/>
          <w:szCs w:val="36"/>
        </w:rPr>
        <w:t xml:space="preserve">«إنّ أَبَرَّ البِرِّ أن يَصِلَ الرجلُ أهلَ وُدِّ أبيه بعد أن يُوَلِّيَ»</w:t>
      </w:r>
      <w:r>
        <w:rPr>
          <w:rStyle w:val="a5"/>
          <w:sz w:val="36"/>
          <w:szCs w:val="36"/>
        </w:rPr>
        <w:footnoteReference w:id="11"/>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جعلَنا اللهُ وإياكم من عبادِه البارِّين، ووفَّقَ أبناءَنا لِبِرِّنا؛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صحيح؛ أخرجه البخاريُّ في «الأدب المفرد» وابنُ المبارك والبيهقيُّ عن ابن عمر ﵄، وصحَّح إسنادَه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عبد الله بن عمرو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بَكْرةَ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وردَ في فضلِ حارثةَ بنِ النعمانِ ﵁ وبِرِّه بأمِّه؛ أخرجه أحمدُ والطبرانيُّ، وحسَّنه بعضُ أهلِ العلمِ بشواهدِه.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عمر بن الخطاب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سعيد بن المسيِّبِ ﵀؛ ذكرَه الطبريُّ في «تفسيره».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السلفِ في البِرِّ؛ ذكرَها ابنُ أبي الدنيا في «مكارم الأخلاق» وأبو نُعيمٍ في «الحلية».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ابن عمر ﵄ في كتبِ البِرِّ والصلة، ولم أقِفْ له على إسنادٍ صحيح؛ فيُذكَرُ للاعتبار.</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عمر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