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﴿قَدْ أَفْلَحَ مَن زَكَّاهَا﴾</w:t>
      </w:r>
    </w:p>
    <w:p>
      <w:pPr>
        <w:spacing w:after="120"/>
      </w:pPr>
      <w:r>
        <w:rPr>
          <w:color w:val="8A6A1F"/>
          <w:sz w:val="36"/>
          <w:szCs w:val="36"/>
        </w:rPr>
        <w:t xml:space="preserve">وسائلُ تزكيةِ النفس</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أحدَ عشَرَ قسَمًا</w:t>
      </w:r>
    </w:p>
    <w:p>
      <w:pPr>
        <w:spacing w:after="140" w:line="340" w:lineRule="auto"/>
        <w:jc w:val="both"/>
      </w:pPr>
      <w:r>
        <w:rPr>
          <w:color w:val="1A1A1A"/>
          <w:sz w:val="36"/>
          <w:szCs w:val="36"/>
        </w:rPr>
        <w:t xml:space="preserve">وبعدُ، أحبَّتي في الله: **ما هذه الأقسامُ العظيمةُ المُتتاليةُ التي ليس لها نظيرٌ في كتابِ الله؟!** فإنّ العظيمَ إذا أقسمَ لا يُقسِمُ إلا بعظيم؛ فلِمَ أقسمَ **أحدَ عشَرَ قسَمًا** في سورةٍ واحدة؟</w:t>
      </w:r>
    </w:p>
    <w:p>
      <w:pPr>
        <w:pBdr>
          <w:right w:val="single" w:sz="12" w:space="10" w:color="8A6A1F"/>
        </w:pBdr>
        <w:spacing w:before="120" w:after="160" w:line="320" w:lineRule="auto"/>
        <w:ind w:left="504" w:right="504"/>
        <w:jc w:val="both"/>
      </w:pPr>
      <w:r>
        <w:rPr>
          <w:b/>
          <w:bCs/>
          <w:color w:val="8A6A1F"/>
          <w:sz w:val="36"/>
          <w:szCs w:val="36"/>
        </w:rPr>
        <w:t xml:space="preserve">﴿وَالشَّمْسِ وَضُحَاهَا ۝ وَالْقَمَرِ إِذَا تَلَاهَا ۝ وَالنَّهَارِ إِذَا جَلَّاهَا ۝ وَاللَّيْلِ إِذَا يَغْشَاهَا ۝ وَالسَّمَاءِ وَمَا بَنَاهَا ۝ وَالْأَرْضِ وَمَا طَحَاهَا ۝ وَنَفْسٍ وَمَا سَوَّاهَا ۝ فَأَلْهَمَهَا فُجُورَهَا وَتَقْوَاهَا﴾</w:t>
      </w:r>
    </w:p>
    <w:p>
      <w:pPr>
        <w:spacing w:after="140" w:line="340" w:lineRule="auto"/>
        <w:jc w:val="both"/>
      </w:pPr>
      <w:r>
        <w:rPr>
          <w:color w:val="1A1A1A"/>
          <w:sz w:val="36"/>
          <w:szCs w:val="36"/>
        </w:rPr>
        <w:t xml:space="preserve">**ثم جاء جوابُ القسَم:**</w:t>
      </w:r>
    </w:p>
    <w:p>
      <w:pPr>
        <w:pBdr>
          <w:right w:val="single" w:sz="12" w:space="10" w:color="8A6A1F"/>
        </w:pBdr>
        <w:spacing w:before="120" w:after="160" w:line="320" w:lineRule="auto"/>
        <w:ind w:left="504" w:right="504"/>
        <w:jc w:val="both"/>
      </w:pPr>
      <w:r>
        <w:rPr>
          <w:b/>
          <w:bCs/>
          <w:color w:val="8A6A1F"/>
          <w:sz w:val="36"/>
          <w:szCs w:val="36"/>
        </w:rPr>
        <w:t xml:space="preserve">﴿قَدْ أَفْلَحَ مَن زَكَّاهَا ۝ وَقَدْ خَابَ مَن دَسَّاهَا﴾</w:t>
      </w:r>
    </w:p>
    <w:p>
      <w:pPr>
        <w:spacing w:after="140" w:line="340" w:lineRule="auto"/>
        <w:jc w:val="both"/>
      </w:pPr>
      <w:r>
        <w:rPr>
          <w:color w:val="1A1A1A"/>
          <w:sz w:val="36"/>
          <w:szCs w:val="36"/>
        </w:rPr>
        <w:t xml:space="preserve">**فحَريٌّ بنا أن نتعرَّفَ على معنى التزكيةِ وكيف يُزكّي الواحدُ منّا نفسَه.**</w:t>
      </w:r>
    </w:p>
    <w:p>
      <w:pPr>
        <w:spacing w:after="140" w:line="340" w:lineRule="auto"/>
        <w:jc w:val="both"/>
      </w:pPr>
      <w:r>
        <w:rPr>
          <w:color w:val="1A1A1A"/>
          <w:sz w:val="36"/>
          <w:szCs w:val="36"/>
        </w:rPr>
        <w:t xml:space="preserve">**والتزكيةُ:** تنميةُ الخيرِ في النفسِ وتكثيرُه ورعايتُه، وتربيتُها التربيةَ الإيمانيةَ الصافية. **وليست التزكيةُ المرادةُ هنا أن يمدَحَ الإنسانُ نفسَه**؛ فتلك نهى اللهُ عنها: </w:t>
      </w:r>
      <w:r>
        <w:rPr>
          <w:b/>
          <w:bCs/>
          <w:color w:val="8A6A1F"/>
          <w:sz w:val="36"/>
          <w:szCs w:val="36"/>
        </w:rPr>
        <w:t xml:space="preserve">﴿فَلَا تُزَكُّوا أَنفُسَكُمْ ۖ هُوَ أَعْلَمُ بِمَنِ اتَّقَىٰ﴾</w:t>
      </w:r>
      <w:r>
        <w:rPr>
          <w:color w:val="1A1A1A"/>
          <w:sz w:val="36"/>
          <w:szCs w:val="36"/>
        </w:rPr>
        <w:t xml:space="preserve">.</w:t>
      </w:r>
    </w:p>
    <w:p>
      <w:pPr>
        <w:spacing w:before="260" w:after="120"/>
      </w:pPr>
      <w:r>
        <w:rPr>
          <w:b/>
          <w:bCs/>
          <w:color w:val="1F5C3A"/>
          <w:sz w:val="36"/>
          <w:szCs w:val="36"/>
        </w:rPr>
        <w:t xml:space="preserve">أولًا: قطعُ التعلُّقِ بالدنيا والتعلُّقُ بالآخرة</w:t>
      </w:r>
    </w:p>
    <w:p>
      <w:pPr>
        <w:spacing w:after="140" w:line="340" w:lineRule="auto"/>
        <w:jc w:val="both"/>
      </w:pPr>
      <w:r>
        <w:rPr>
          <w:color w:val="1A1A1A"/>
          <w:sz w:val="36"/>
          <w:szCs w:val="36"/>
        </w:rPr>
        <w:t xml:space="preserve">**فلن تزكوَ نفوسُنا، ولن تصِلَ قلوبُنا إلى اللهِ وصولًا سليمًا، إلا إذا انقطعَتْ عن التعلُّقِ بهذه الدنيا.**</w:t>
      </w:r>
    </w:p>
    <w:p>
      <w:pPr>
        <w:spacing w:after="140" w:line="340" w:lineRule="auto"/>
        <w:jc w:val="both"/>
      </w:pPr>
      <w:r>
        <w:rPr>
          <w:color w:val="1A1A1A"/>
          <w:sz w:val="36"/>
          <w:szCs w:val="36"/>
        </w:rPr>
        <w:t xml:space="preserve">ونحن نقرأُ في كلِّ جمعةٍ ـ اتِّباعًا لسنَّةِ نبيِّنا ﷺ ـ سورةَ </w:t>
      </w:r>
      <w:r>
        <w:rPr>
          <w:b/>
          <w:bCs/>
          <w:color w:val="1F5C3A"/>
          <w:sz w:val="36"/>
          <w:szCs w:val="36"/>
        </w:rPr>
        <w:t xml:space="preserve">«الأعلى»</w:t>
      </w:r>
      <w:r>
        <w:rPr>
          <w:color w:val="1A1A1A"/>
          <w:sz w:val="36"/>
          <w:szCs w:val="36"/>
        </w:rPr>
        <w:t xml:space="preserve">؛ فتأمَّلْ:</w:t>
      </w:r>
    </w:p>
    <w:p>
      <w:pPr>
        <w:pBdr>
          <w:right w:val="single" w:sz="12" w:space="10" w:color="8A6A1F"/>
        </w:pBdr>
        <w:spacing w:before="120" w:after="160" w:line="320" w:lineRule="auto"/>
        <w:ind w:left="504" w:right="504"/>
        <w:jc w:val="both"/>
      </w:pPr>
      <w:r>
        <w:rPr>
          <w:b/>
          <w:bCs/>
          <w:color w:val="8A6A1F"/>
          <w:sz w:val="36"/>
          <w:szCs w:val="36"/>
        </w:rPr>
        <w:t xml:space="preserve">﴿قَدْ أَفْلَحَ مَن تَزَكَّىٰ ۝ وَذَكَرَ اسْمَ رَبِّهِ فَصَلَّىٰ ۝ بَلْ تُؤْثِرُونَ الْحَيَاةَ الدُّنْيَا ۝ وَالْآخِرَةُ خَيْرٌ وَأَبْقَىٰ﴾</w:t>
      </w:r>
    </w:p>
    <w:p>
      <w:pPr>
        <w:spacing w:after="140" w:line="340" w:lineRule="auto"/>
        <w:jc w:val="both"/>
      </w:pPr>
      <w:r>
        <w:rPr>
          <w:color w:val="1A1A1A"/>
          <w:sz w:val="36"/>
          <w:szCs w:val="36"/>
        </w:rPr>
        <w:t xml:space="preserve">**فدلَّتِ الآيةُ على أنّ من آثَرَ الحياةَ الدنيا فقد دسّى نفسَه وما زكّاها.**</w:t>
      </w:r>
    </w:p>
    <w:p>
      <w:pPr>
        <w:spacing w:after="140" w:line="340" w:lineRule="auto"/>
        <w:jc w:val="both"/>
      </w:pPr>
      <w:r>
        <w:rPr>
          <w:color w:val="1A1A1A"/>
          <w:sz w:val="36"/>
          <w:szCs w:val="36"/>
        </w:rPr>
        <w:t xml:space="preserve">**فراجِعْ علاقةَ قلبِك بالدنيا:** أَيعبُدُها؟ أَيعشَقُها؟ فاعلَمْ أنك ما زكَّيتَ نفسَك. أمّا إن كان القلبُ يتعامَلُ معها على أنها **مَطِيَّةٌ للآخرةِ ودارُ عملٍ وتكليف** ـ فذلك هو الفلاح. وقد قال ﷺ:</w:t>
      </w:r>
    </w:p>
    <w:p>
      <w:pPr>
        <w:pBdr>
          <w:right w:val="single" w:sz="12" w:space="10" w:color="8A6A1F"/>
        </w:pBdr>
        <w:spacing w:before="120" w:after="160" w:line="320" w:lineRule="auto"/>
        <w:ind w:left="504" w:right="504"/>
        <w:jc w:val="both"/>
      </w:pPr>
      <w:r>
        <w:rPr>
          <w:b/>
          <w:bCs/>
          <w:color w:val="1F5C3A"/>
          <w:sz w:val="36"/>
          <w:szCs w:val="36"/>
        </w:rPr>
        <w:t xml:space="preserve">«تَعِسَ عبدُ الدينار، وعبدُ الدرهم، وعبدُ الخَميصة، وعبدُ الخَميلة؛ إن أُعطيَ رضي، وإن لم يُعطَ سَخِط. تَعِسَ وانتَكَس، وإذا شِيكَ فلا انتَقَش»</w:t>
      </w:r>
      <w:r>
        <w:rPr>
          <w:rStyle w:val="a5"/>
          <w:sz w:val="36"/>
          <w:szCs w:val="36"/>
        </w:rPr>
        <w:footnoteReference w:id="1"/>
      </w:r>
    </w:p>
    <w:p>
      <w:pPr>
        <w:spacing w:after="140" w:line="340" w:lineRule="auto"/>
        <w:jc w:val="both"/>
      </w:pPr>
      <w:r>
        <w:rPr>
          <w:color w:val="1A1A1A"/>
          <w:sz w:val="36"/>
          <w:szCs w:val="36"/>
        </w:rPr>
        <w:t xml:space="preserve">**فمن صارَ عبدًا للدنيا قدَّمَها على أمرِ الله**: يريدُ المالَ واللهُ حرَّمَ الرِّبا فيُقبِلُ على الربا؛ يريدُ الشهوةَ واللهُ حرَّمَ الزنا وأمَرَ بغَضِّ البصرِ فيُخالِف. **هكذا يكونُ العبدُ عبدًا للدنيا.**</w:t>
      </w:r>
    </w:p>
    <w:p>
      <w:pPr>
        <w:spacing w:after="140" w:line="340" w:lineRule="auto"/>
        <w:jc w:val="both"/>
      </w:pPr>
      <w:r>
        <w:rPr>
          <w:color w:val="1A1A1A"/>
          <w:sz w:val="36"/>
          <w:szCs w:val="36"/>
        </w:rPr>
        <w:t xml:space="preserve">**وتأمَّلوا في حالِ من سَمَتْ نفوسُهم:** يقولُ **أبو داودَ ﵀** صاحبُ </w:t>
      </w:r>
      <w:r>
        <w:rPr>
          <w:b/>
          <w:bCs/>
          <w:color w:val="1F5C3A"/>
          <w:sz w:val="36"/>
          <w:szCs w:val="36"/>
        </w:rPr>
        <w:t xml:space="preserve">«السنن»</w:t>
      </w:r>
      <w:r>
        <w:rPr>
          <w:color w:val="1A1A1A"/>
          <w:sz w:val="36"/>
          <w:szCs w:val="36"/>
        </w:rPr>
        <w:t xml:space="preserve"> عن شيخِه الإمامِ أحمد: **كانت مجالسُه مجالسَ الآخرة؛ لا يُذكَرُ فيها شيءٌ من أمرِ الدنيا. ما رأيتُه يذكُرُ الدنيا قطّ.**</w:t>
      </w:r>
      <w:r>
        <w:rPr>
          <w:rStyle w:val="a5"/>
          <w:sz w:val="36"/>
          <w:szCs w:val="36"/>
        </w:rPr>
        <w:footnoteReference w:id="2"/>
      </w:r>
    </w:p>
    <w:p>
      <w:pPr>
        <w:spacing w:after="140" w:line="340" w:lineRule="auto"/>
        <w:jc w:val="both"/>
      </w:pPr>
      <w:r>
        <w:rPr>
          <w:color w:val="1A1A1A"/>
          <w:sz w:val="36"/>
          <w:szCs w:val="36"/>
        </w:rPr>
        <w:t xml:space="preserve">**فما لي أراك لا تذكُرُ الآخرةَ قطّ؟!**</w:t>
      </w:r>
    </w:p>
    <w:p>
      <w:pPr>
        <w:spacing w:after="140" w:line="340" w:lineRule="auto"/>
        <w:jc w:val="both"/>
      </w:pPr>
      <w:r>
        <w:rPr>
          <w:color w:val="1A1A1A"/>
          <w:sz w:val="36"/>
          <w:szCs w:val="36"/>
        </w:rPr>
        <w:t xml:space="preserve">و**سفيانُ الثوريُّ ﵀** ـ الذي بلغَتْ عبادتُه شَأوًا عظيمًا ـ كانت في جيبِه رُقعةٌ يتأمَّلُها يُعالِجُ بها قلبَه؛ فسقطَتْ يومًا فقُرِئَ فيها جملةٌ واحدة: **</w:t>
      </w:r>
      <w:r>
        <w:rPr>
          <w:b/>
          <w:bCs/>
          <w:color w:val="1F5C3A"/>
          <w:sz w:val="36"/>
          <w:szCs w:val="36"/>
        </w:rPr>
        <w:t xml:space="preserve">«سفيانُ، تذكَّرْ وقوفَك بين يدَيِ الله»</w:t>
      </w:r>
      <w:r>
        <w:rPr>
          <w:color w:val="1A1A1A"/>
          <w:sz w:val="36"/>
          <w:szCs w:val="36"/>
        </w:rPr>
        <w:t xml:space="preserve">.**</w:t>
      </w:r>
      <w:r>
        <w:rPr>
          <w:rStyle w:val="a5"/>
          <w:sz w:val="36"/>
          <w:szCs w:val="36"/>
        </w:rPr>
        <w:footnoteReference w:id="3"/>
      </w:r>
    </w:p>
    <w:p>
      <w:pPr>
        <w:spacing w:after="140" w:line="340" w:lineRule="auto"/>
        <w:jc w:val="both"/>
      </w:pPr>
      <w:r>
        <w:rPr>
          <w:color w:val="1A1A1A"/>
          <w:sz w:val="36"/>
          <w:szCs w:val="36"/>
        </w:rPr>
        <w:t xml:space="preserve">و**الإمامُ أحمدُ ﵀** يحكي عنه تلميذُه المَرُّوذيّ: أنّ رجلًا قدِمَ من الثَّغرِ فقال: **كنّا في غزوٍ فارتفعَتْ أصواتُنا بالدعاءِ لأبي عبد الله؛ ورمَينا بالمَنجَنيقِ عنه فأصابَ الحجَرُ رأسَ رجل.** فتغيَّرَ وجهُ الإمامِ أحمدَ وقال:</w:t>
      </w:r>
    </w:p>
    <w:p>
      <w:pPr>
        <w:pBdr>
          <w:right w:val="single" w:sz="12" w:space="10" w:color="8A6A1F"/>
        </w:pBdr>
        <w:spacing w:before="120" w:after="160" w:line="320" w:lineRule="auto"/>
        <w:ind w:left="504" w:right="504"/>
        <w:jc w:val="both"/>
      </w:pPr>
      <w:r>
        <w:rPr>
          <w:b/>
          <w:bCs/>
          <w:color w:val="1F5C3A"/>
          <w:sz w:val="36"/>
          <w:szCs w:val="36"/>
        </w:rPr>
        <w:t xml:space="preserve">«أرجو ألّا يكونَ استِدراجًا»</w:t>
      </w:r>
      <w:r>
        <w:rPr>
          <w:rStyle w:val="a5"/>
          <w:sz w:val="36"/>
          <w:szCs w:val="36"/>
        </w:rPr>
        <w:footnoteReference w:id="4"/>
      </w:r>
    </w:p>
    <w:p>
      <w:pPr>
        <w:spacing w:after="140" w:line="340" w:lineRule="auto"/>
        <w:jc w:val="both"/>
      </w:pPr>
      <w:r>
        <w:rPr>
          <w:color w:val="1A1A1A"/>
          <w:sz w:val="36"/>
          <w:szCs w:val="36"/>
        </w:rPr>
        <w:t xml:space="preserve">**هذا القلبُ الذي باعَ الدنيا واشترى ما عند اللهِ ـ صارَ إمامَ أهلِ السنَّة.**</w:t>
      </w:r>
    </w:p>
    <w:p>
      <w:pPr>
        <w:spacing w:after="140" w:line="340" w:lineRule="auto"/>
        <w:jc w:val="both"/>
      </w:pPr>
      <w:r>
        <w:rPr>
          <w:color w:val="1A1A1A"/>
          <w:sz w:val="36"/>
          <w:szCs w:val="36"/>
        </w:rPr>
        <w:t xml:space="preserve">**وأمّا نحن**، فإن تعلَّقَتْ قلوبُنا بالدنيا **صِرنا عبيدًا لها؛ وعبدُ الدنيا لا يَعِزُّ أبدًا. فوَاللهِ إنّ الأمَّةَ التي تعلَّقَتْ قلوبُها بالدنيا هي التي رضِيَتْ بالدُّون، وأمّا لو كنّا عبيدًا للهِ مُتعلِّقينَ بالآخرةِ لَتغيَّرَ الحال.**</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الإقبالُ على العبادة</w:t>
      </w:r>
    </w:p>
    <w:p>
      <w:pPr>
        <w:spacing w:after="140" w:line="340" w:lineRule="auto"/>
        <w:jc w:val="both"/>
      </w:pPr>
      <w:r>
        <w:rPr>
          <w:color w:val="1A1A1A"/>
          <w:sz w:val="36"/>
          <w:szCs w:val="36"/>
        </w:rPr>
        <w:t xml:space="preserve">**إنّ تزكيةَ النفسِ ليست شعاراتٍ ولا حركات، ولا جلوسًا في زاويةٍ في خَلوةٍ مع شيخٍ وطريقة؛ كلّا وربي. إنّ طريقَها تحقيقُ العبوديةِ للهِ سبحانه.**</w:t>
      </w:r>
    </w:p>
    <w:p>
      <w:pPr>
        <w:spacing w:after="140" w:line="340" w:lineRule="auto"/>
        <w:jc w:val="both"/>
      </w:pPr>
      <w:r>
        <w:rPr>
          <w:color w:val="1A1A1A"/>
          <w:sz w:val="36"/>
          <w:szCs w:val="36"/>
        </w:rPr>
        <w:t xml:space="preserve">**فلن تزكوَ نفسُك وأنت لا تقومُ الليلَ ولا تقرأُ القرآنَ ولا تُصلِّي النوافل ـ بل لعلَّك مُفرِّطٌ في الفرائض!**</w:t>
      </w:r>
    </w:p>
    <w:p>
      <w:pPr>
        <w:spacing w:after="140" w:line="340" w:lineRule="auto"/>
        <w:jc w:val="both"/>
      </w:pPr>
      <w:r>
        <w:rPr>
          <w:color w:val="1A1A1A"/>
          <w:sz w:val="36"/>
          <w:szCs w:val="36"/>
        </w:rPr>
        <w:t xml:space="preserve">تأمَّلْ كيف خاطبَ اللهُ نبيَّه ﷺ:</w:t>
      </w:r>
    </w:p>
    <w:p>
      <w:pPr>
        <w:pBdr>
          <w:right w:val="single" w:sz="12" w:space="10" w:color="8A6A1F"/>
        </w:pBdr>
        <w:spacing w:before="120" w:after="160" w:line="320" w:lineRule="auto"/>
        <w:ind w:left="504" w:right="504"/>
        <w:jc w:val="both"/>
      </w:pPr>
      <w:r>
        <w:rPr>
          <w:b/>
          <w:bCs/>
          <w:color w:val="8A6A1F"/>
          <w:sz w:val="36"/>
          <w:szCs w:val="36"/>
        </w:rPr>
        <w:t xml:space="preserve">﴿وَمِنَ اللَّيْلِ فَتَهَجَّدْ بِهِ نَافِلَةً لَّكَ عَسَىٰ أَن يَبْعَثَكَ رَبُّكَ مَقَامًا مَّحْمُودًا﴾</w:t>
      </w:r>
    </w:p>
    <w:p>
      <w:pPr>
        <w:spacing w:after="140" w:line="340" w:lineRule="auto"/>
        <w:jc w:val="both"/>
      </w:pPr>
      <w:r>
        <w:rPr>
          <w:color w:val="1A1A1A"/>
          <w:sz w:val="36"/>
          <w:szCs w:val="36"/>
        </w:rPr>
        <w:t xml:space="preserve">**فالمقامُ المحمودُ يحتاجُ إلى قيامٍ في الظلام.** ولمّا أرادَ **ربيعةُ بنُ كعبٍ ﵁** أن يُصاحِبَ النبيَّ ﷺ في الجنَّةِ قال له ﷺ: **</w:t>
      </w:r>
      <w:r>
        <w:rPr>
          <w:b/>
          <w:bCs/>
          <w:color w:val="1F5C3A"/>
          <w:sz w:val="36"/>
          <w:szCs w:val="36"/>
        </w:rPr>
        <w:t xml:space="preserve">«فأَعِنّي على نفسِك بكثرةِ السجود»</w:t>
      </w:r>
      <w:r>
        <w:rPr>
          <w:color w:val="1A1A1A"/>
          <w:sz w:val="36"/>
          <w:szCs w:val="36"/>
        </w:rPr>
        <w:t xml:space="preserve">**.</w:t>
      </w:r>
      <w:r>
        <w:rPr>
          <w:rStyle w:val="a5"/>
          <w:sz w:val="36"/>
          <w:szCs w:val="36"/>
        </w:rPr>
        <w:footnoteReference w:id="5"/>
      </w:r>
    </w:p>
    <w:p>
      <w:pPr>
        <w:spacing w:after="140" w:line="340" w:lineRule="auto"/>
        <w:jc w:val="both"/>
      </w:pPr>
      <w:r>
        <w:rPr>
          <w:color w:val="1A1A1A"/>
          <w:sz w:val="36"/>
          <w:szCs w:val="36"/>
        </w:rPr>
        <w:t xml:space="preserve">**فحدِّثْني عن كثرةِ سجودِك وصيامِك وطولِ قيامِك وذِكرِك وقراءتِك.** وتأمَّلِ الآية: </w:t>
      </w:r>
      <w:r>
        <w:rPr>
          <w:b/>
          <w:bCs/>
          <w:color w:val="8A6A1F"/>
          <w:sz w:val="36"/>
          <w:szCs w:val="36"/>
        </w:rPr>
        <w:t xml:space="preserve">﴿قَدْ أَفْلَحَ مَن تَزَكَّىٰ ۝ **وَذَكَرَ اسْمَ رَبِّهِ فَصَلَّىٰ**﴾</w:t>
      </w:r>
      <w:r>
        <w:rPr>
          <w:color w:val="1A1A1A"/>
          <w:sz w:val="36"/>
          <w:szCs w:val="36"/>
        </w:rPr>
        <w:t xml:space="preserve"> ـ فالذي يذكُرُ ويُصلِّي هو الذي يُحقِّقُ التزكية.</w:t>
      </w:r>
    </w:p>
    <w:p>
      <w:pPr>
        <w:spacing w:before="260" w:after="120"/>
      </w:pPr>
      <w:r>
        <w:rPr>
          <w:b/>
          <w:bCs/>
          <w:color w:val="1F5C3A"/>
          <w:sz w:val="36"/>
          <w:szCs w:val="36"/>
        </w:rPr>
        <w:t xml:space="preserve">ثالثًا: تركُ مُجالَسةِ العطّالينَ والبطّالين</w:t>
      </w:r>
    </w:p>
    <w:p>
      <w:pPr>
        <w:spacing w:after="140" w:line="340" w:lineRule="auto"/>
        <w:jc w:val="both"/>
      </w:pPr>
      <w:r>
        <w:rPr>
          <w:color w:val="1A1A1A"/>
          <w:sz w:val="36"/>
          <w:szCs w:val="36"/>
        </w:rPr>
        <w:t xml:space="preserve">**إنّ العبدَ الذي تعلَّقَ قلبُه بأصحابِ القيلِ والقال ـ الذين هَمُّهم الكلامُ في الناس، فلم يَسلَمْ منهم عالِمٌ ولا داعٍ ولا مُجاهِد ـ فوَاللهِ إنّ مجالسَهم عدَمُ تزكيةٍ للنفس.**</w:t>
      </w:r>
    </w:p>
    <w:p>
      <w:pPr>
        <w:spacing w:after="140" w:line="340" w:lineRule="auto"/>
        <w:jc w:val="both"/>
      </w:pPr>
      <w:r>
        <w:rPr>
          <w:color w:val="1A1A1A"/>
          <w:sz w:val="36"/>
          <w:szCs w:val="36"/>
        </w:rPr>
        <w:t xml:space="preserve">**فتأمَّلْ حالَ قلبِك** حين تجلِسُ في مجلسِ حرام، أو مجلسِ كلامٍ في العلماءِ وتبديعٍ وتفسيقٍ وتجريح: أَتخرُجُ بنفسٍ زكيَّةٍ طيِّبةٍ مُقبِلةٍ على الله، أم بنفسٍ مُكدَّرة؟</w:t>
      </w:r>
    </w:p>
    <w:p>
      <w:pPr>
        <w:spacing w:after="140" w:line="340" w:lineRule="auto"/>
        <w:jc w:val="both"/>
      </w:pPr>
      <w:r>
        <w:rPr>
          <w:color w:val="1A1A1A"/>
          <w:sz w:val="36"/>
          <w:szCs w:val="36"/>
        </w:rPr>
        <w:t xml:space="preserve">**فمُصاحَبةُ أصحابِ النفوسِ الزكيَّةِ سببٌ عظيمٌ في تزكيةِ النفس؛ وأمّا من جالَسَ العطّالينَ والبطّالينَ فأَحسَنَ اللهُ عزاءَه في قلبِه.**</w:t>
      </w:r>
    </w:p>
    <w:p>
      <w:pPr>
        <w:spacing w:before="260" w:after="120"/>
      </w:pPr>
      <w:r>
        <w:rPr>
          <w:b/>
          <w:bCs/>
          <w:color w:val="1F5C3A"/>
          <w:sz w:val="36"/>
          <w:szCs w:val="36"/>
        </w:rPr>
        <w:t xml:space="preserve">رابعًا: الابتعادُ عن الذنوبِ والمعاصي</w:t>
      </w:r>
    </w:p>
    <w:p>
      <w:pPr>
        <w:spacing w:after="140" w:line="340" w:lineRule="auto"/>
        <w:jc w:val="both"/>
      </w:pPr>
      <w:r>
        <w:rPr>
          <w:color w:val="1A1A1A"/>
          <w:sz w:val="36"/>
          <w:szCs w:val="36"/>
        </w:rPr>
        <w:t xml:space="preserve">**يا كرام: لن تزكوَ نفوسُنا ونحن عبيدٌ لشهواتٍ أُودِعَتْ في أجهزتِنا.** يقينًا لن تزكوَ النفسُ وأنت تُمارِسُ **زنا النظرِ** آلافَ المرّاتِ في اليوم، وتقولُ الحرامَ وتسمَعُه وتأكُلُه وتمشي إليه ـ **فكيف تزكو؟!** واللهُ سبحانه يقولُ عن حالِ القلوبِ مع الذنوب:</w:t>
      </w:r>
    </w:p>
    <w:p>
      <w:pPr>
        <w:pBdr>
          <w:right w:val="single" w:sz="12" w:space="10" w:color="8A6A1F"/>
        </w:pBdr>
        <w:spacing w:before="120" w:after="160" w:line="320" w:lineRule="auto"/>
        <w:ind w:left="504" w:right="504"/>
        <w:jc w:val="both"/>
      </w:pPr>
      <w:r>
        <w:rPr>
          <w:b/>
          <w:bCs/>
          <w:color w:val="8A6A1F"/>
          <w:sz w:val="36"/>
          <w:szCs w:val="36"/>
        </w:rPr>
        <w:t xml:space="preserve">﴿كَلَّا ۖ بَلْ رَانَ عَلَىٰ قُلُوبِهِم مَّا كَانُوا يَكْسِبُونَ﴾</w:t>
      </w:r>
    </w:p>
    <w:p>
      <w:pPr>
        <w:spacing w:after="140" w:line="340" w:lineRule="auto"/>
        <w:jc w:val="both"/>
      </w:pPr>
      <w:r>
        <w:rPr>
          <w:color w:val="1A1A1A"/>
          <w:sz w:val="36"/>
          <w:szCs w:val="36"/>
        </w:rPr>
        <w:t xml:space="preserve">**فالذنوبُ والمعاصي من أعظمِ أسبابِ سوادِ القلبِ وعدَمِ تزكيةِ النفس.**</w:t>
      </w:r>
    </w:p>
    <w:p>
      <w:pPr>
        <w:spacing w:after="140" w:line="340" w:lineRule="auto"/>
        <w:jc w:val="both"/>
      </w:pPr>
      <w:r>
        <w:rPr>
          <w:color w:val="1A1A1A"/>
          <w:sz w:val="36"/>
          <w:szCs w:val="36"/>
        </w:rPr>
        <w:t xml:space="preserve">فاتَّقِ اللهَ في قلبِك ـ أيها الشابُّ المسلم ـ وزَكِّ نفسَك بسماعِ القرآنِ والبُعدِ كلَّ البُعدِ عن الذنوبِ والآثام. أمّا إن ترَكتَ نفسَك ترتَعُ في أوحالِ المعاصي، فيقينًا سيصدُقُ عليك قولُ ربِّك: **</w:t>
      </w:r>
      <w:r>
        <w:rPr>
          <w:b/>
          <w:bCs/>
          <w:color w:val="8A6A1F"/>
          <w:sz w:val="36"/>
          <w:szCs w:val="36"/>
        </w:rPr>
        <w:t xml:space="preserve">﴿وَقَدْ خَابَ مَن دَسَّاهَا﴾</w:t>
      </w:r>
      <w:r>
        <w:rPr>
          <w:color w:val="1A1A1A"/>
          <w:sz w:val="36"/>
          <w:szCs w:val="36"/>
        </w:rPr>
        <w:t xml:space="preserve">** ـ لا جعَلَنا اللهُ وإياكم منهم.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جعلَنا اللهُ وإياكم ممَّن يُزكُّون أنفسَهم، فتَسمو أرواحُهم في المَلَإ الأعلى، ويُصيبونَ الفردوسَ الأعلى؛ إنه جوادٌ كريم.</w:t>
      </w:r>
    </w:p>
    <w:p>
      <w:pPr>
        <w:spacing w:after="140" w:line="340" w:lineRule="auto"/>
        <w:jc w:val="both"/>
      </w:pPr>
      <w:r>
        <w:rPr>
          <w:color w:val="1A1A1A"/>
          <w:sz w:val="36"/>
          <w:szCs w:val="36"/>
        </w:rPr>
        <w:t xml:space="preserve">اللهم آتِ نفوسَنا تقواها، وزكِّها أنت خيرُ من زكّاها، أنت وليُّها ومولاها.</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يا حيُّ يا قيُّوم، يا ذا الجلالِ والإكرام، يا قويُّ يا متين: **عليك باليهودِ المُعتدينَ فإنهم لا يُعجِزونك.**</w:t>
      </w:r>
      <w:r>
        <w:rPr>
          <w:rStyle w:val="a5"/>
          <w:sz w:val="36"/>
          <w:szCs w:val="36"/>
        </w:rPr>
        <w:footnoteReference w:id="6"/>
      </w:r>
      <w:r>
        <w:rPr>
          <w:color w:val="1A1A1A"/>
          <w:sz w:val="36"/>
          <w:szCs w:val="36"/>
        </w:rPr>
        <w:t xml:space="preserve"> اللهم كُنْ لإخوانِنا المستضعَفينَ عونًا وناصرًا، وهيِّئْ لهم أسبابَ العِزَّةِ والنصرِ والتمكين، واربِطْ على قلوبِهم، وسدِّدْ رَأيَهم ورَميَهم، واجمَعْ كلمتَهم، وثبِّتْ أقدامَهم، وداوِ جرحاهم، وأَطعِمْ جائعَهم.</w:t>
      </w:r>
    </w:p>
    <w:p>
      <w:pPr>
        <w:spacing w:after="140" w:line="340" w:lineRule="auto"/>
        <w:jc w:val="both"/>
      </w:pPr>
      <w:r>
        <w:rPr>
          <w:color w:val="1A1A1A"/>
          <w:sz w:val="36"/>
          <w:szCs w:val="36"/>
        </w:rPr>
        <w:t xml:space="preserve">**ربَّنا لا تُؤاخِذْنا بتقصيرِنا، ونعوذُ بك أن نكونَ ممَّن خذَلَهم؛ إنك غفورٌ رحيم.** والحمدُ للهِ ربِّ العالمين، وصلَّى اللهُ على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و«الخَميصة»: كِساءٌ له أعلام، و«الخَميلة»: القَطيفة؛ و«شِيكَ فلا انتَقَش»: أُصيبَ بشوكةٍ فلا وجَدَ من يُخرِجُها له.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ابنُ الجوزيِّ في «مناقب الإمام أحمد» والذهبيُّ في «السير».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سفيانَ الثوريِّ ﵀؛ ذكرَها أبو نُعيمٍ في «الحلية» والذهبيُّ في «السير».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المَرُّوذيُّ وابنُ الجوزيِّ في «المناقب».</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ربيعةَ بنِ كعبٍ الأسلميِّ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وفي معناه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