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المحبَّةُ والوئام</w:t>
      </w:r>
    </w:p>
    <w:p>
      <w:pPr>
        <w:spacing w:after="120"/>
      </w:pPr>
      <w:r>
        <w:rPr>
          <w:color w:val="8A6A1F"/>
          <w:sz w:val="36"/>
          <w:szCs w:val="36"/>
        </w:rPr>
        <w:t xml:space="preserve">مقصدٌ من مقاصدِ الإسلام ـ رحلةٌ إلى وادي لَكَّة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أمّا بعدُ، فإنّ أصدقَ الحديثِ كتابُ الله، وخيرَ الهَديِ هَديُ محمدٍ ﷺ، وشرَّ الأمورِ مُحدَثاتُها، وكلَّ مُحدَثةٍ بدعة، وكلَّ بدعةٍ ضلالة، وكلَّ ضلالةٍ في النار.</w:t>
      </w:r>
    </w:p>
    <w:p>
      <w:pPr>
        <w:spacing w:before="260" w:after="120"/>
      </w:pPr>
      <w:r>
        <w:rPr>
          <w:b/>
          <w:bCs/>
          <w:color w:val="1F5C3A"/>
          <w:sz w:val="36"/>
          <w:szCs w:val="36"/>
        </w:rPr>
        <w:t xml:space="preserve">تمهيد: رحلةٌ إلى وادي لَكَّة</w:t>
      </w:r>
    </w:p>
    <w:p>
      <w:pPr>
        <w:spacing w:after="140" w:line="340" w:lineRule="auto"/>
        <w:jc w:val="both"/>
      </w:pPr>
      <w:r>
        <w:rPr>
          <w:color w:val="1A1A1A"/>
          <w:sz w:val="36"/>
          <w:szCs w:val="36"/>
        </w:rPr>
        <w:t xml:space="preserve">وبعدُ، أحبَّتي في الله، معاشرَ المصلِّين: قصةُ مجدٍ نُسافِرُ نحوها على أمواجِ الدموع؛ نسَجَ خيوطَها طارقٌ وموسى ومن جاء بعدَهما. نُسافِرُ إلى **وادي لَكَّة** حيث فُتِحَتْ حاضرةٌ من حواضرِ الدنيا في ذلك الزمان.</w:t>
      </w:r>
    </w:p>
    <w:p>
      <w:pPr>
        <w:spacing w:after="140" w:line="340" w:lineRule="auto"/>
        <w:jc w:val="both"/>
      </w:pPr>
      <w:r>
        <w:rPr>
          <w:color w:val="1A1A1A"/>
          <w:sz w:val="36"/>
          <w:szCs w:val="36"/>
        </w:rPr>
        <w:t xml:space="preserve">سافِرْ معي بقلبِك إلى قُرطُبةَ وطُلَيطِلةَ وإشبيليةَ؛ فإنك ستقِفُ يومًا بباب جامعِ قُرطُبةَ فتذكُرُ ما قاله شاعرُ الأندلسِ حين حلَّتِ النكبة:</w:t>
      </w:r>
    </w:p>
    <w:p>
      <w:pPr>
        <w:pBdr>
          <w:right w:val="single" w:sz="12" w:space="10" w:color="8A6A1F"/>
        </w:pBdr>
        <w:spacing w:before="120" w:after="160" w:line="320" w:lineRule="auto"/>
        <w:ind w:left="504" w:right="504"/>
        <w:jc w:val="both"/>
      </w:pPr>
      <w:r>
        <w:rPr>
          <w:b/>
          <w:bCs/>
          <w:color w:val="1F5C3A"/>
          <w:sz w:val="36"/>
          <w:szCs w:val="36"/>
        </w:rPr>
        <w:t xml:space="preserve">فاسأَلْ بَلَنسِيَةً ما شأنُ مُرسِيَةٍ ... وأينَ شاطِبةٌ أم أينَ جَيّانُ</w:t>
      </w:r>
    </w:p>
    <w:p>
      <w:pPr>
        <w:pBdr>
          <w:right w:val="single" w:sz="12" w:space="10" w:color="8A6A1F"/>
        </w:pBdr>
        <w:spacing w:before="120" w:after="160" w:line="320" w:lineRule="auto"/>
        <w:ind w:left="504" w:right="504"/>
        <w:jc w:val="both"/>
      </w:pPr>
      <w:r>
        <w:rPr>
          <w:b/>
          <w:bCs/>
          <w:color w:val="1F5C3A"/>
          <w:sz w:val="36"/>
          <w:szCs w:val="36"/>
        </w:rPr>
        <w:t xml:space="preserve">وأينَ قُرطُبةٌ دارُ العلومِ فكم ... من عالمٍ قد سَما فيها له شانُ</w:t>
      </w:r>
      <w:r>
        <w:rPr>
          <w:rStyle w:val="a5"/>
          <w:sz w:val="36"/>
          <w:szCs w:val="36"/>
        </w:rPr>
        <w:footnoteReference w:id="1"/>
      </w:r>
    </w:p>
    <w:p>
      <w:pPr>
        <w:spacing w:after="140" w:line="340" w:lineRule="auto"/>
        <w:jc w:val="both"/>
      </w:pPr>
      <w:r>
        <w:rPr>
          <w:color w:val="1A1A1A"/>
          <w:sz w:val="36"/>
          <w:szCs w:val="36"/>
        </w:rPr>
        <w:t xml:space="preserve">ستبكي حين تُطالِعُ ما سطَّرَه المؤرِّخون ـ وفيهم غيرُ المسلمين ـ عن قُرطُبةَ في عصرِها الزاهر: منارةً للعلمِ، بمكتباتٍ ومدارسَ ومساجدَ عامرة، وشوارعَ مُنارةٍ في الليل، وشبكاتِ مياهٍ ومَرافِقَ ما عرَفَتْها أوروبا يومئذ. حتى قال بعضُ المستشرقين: في الوقتِ الذي كان بعضُ ملوكِ أوروبا لا يُحسِنُ الكتابة، كان طالبُ العلمِ في الأندلسِ يقرأُ ويكتُبُ ويقرِضُ الشِّعر.</w:t>
      </w:r>
      <w:r>
        <w:rPr>
          <w:rStyle w:val="a5"/>
          <w:sz w:val="36"/>
          <w:szCs w:val="36"/>
        </w:rPr>
        <w:footnoteReference w:id="2"/>
      </w:r>
      <w:r>
        <w:rPr>
          <w:color w:val="1A1A1A"/>
          <w:sz w:val="36"/>
          <w:szCs w:val="36"/>
        </w:rPr>
        <w:t xml:space="preserve"> وكان الأوروبيّون يُرسِلون أبناءَهم إلى مدارسِ المسلمين، وقامَتْ في الشمالِ دُورٌ لترجمةِ كتُبِ المسلمين إلى لغاتِهم حتى قامَتْ نهضتُهم.</w:t>
      </w:r>
    </w:p>
    <w:p>
      <w:pPr>
        <w:spacing w:after="140" w:line="340" w:lineRule="auto"/>
        <w:jc w:val="both"/>
      </w:pPr>
      <w:r>
        <w:rPr>
          <w:color w:val="1A1A1A"/>
          <w:sz w:val="36"/>
          <w:szCs w:val="36"/>
        </w:rPr>
        <w:t xml:space="preserve">حين كنّا كذلك حقَّ لنا أن نتكلَّمَ عن المحبَّةِ والوئام.</w:t>
      </w:r>
    </w:p>
    <w:p>
      <w:pPr>
        <w:spacing w:after="140" w:line="340" w:lineRule="auto"/>
        <w:jc w:val="both"/>
      </w:pPr>
      <w:r>
        <w:rPr>
          <w:color w:val="1A1A1A"/>
          <w:sz w:val="36"/>
          <w:szCs w:val="36"/>
        </w:rPr>
        <w:t xml:space="preserve">ثم ماذا؟ غيَّروا مناهجَهم، وكسَروا سيوفَهم، وبدَّلوا أخلاقَهم، وغرِقوا في شهواتِهم؛ حتى قال قائلُهم يُصوِّرُ حالَهم:</w:t>
      </w:r>
    </w:p>
    <w:p>
      <w:pPr>
        <w:pBdr>
          <w:right w:val="single" w:sz="12" w:space="10" w:color="8A6A1F"/>
        </w:pBdr>
        <w:spacing w:before="120" w:after="160" w:line="320" w:lineRule="auto"/>
        <w:ind w:left="504" w:right="504"/>
        <w:jc w:val="both"/>
      </w:pPr>
      <w:r>
        <w:rPr>
          <w:b/>
          <w:bCs/>
          <w:color w:val="1F5C3A"/>
          <w:sz w:val="36"/>
          <w:szCs w:val="36"/>
        </w:rPr>
        <w:t xml:space="preserve">يا أهلَ أندلُسٍ شُدُّوا رِحالَكمُ ... فما المُقامُ بها إلا من الغلَطِ</w:t>
      </w:r>
    </w:p>
    <w:p>
      <w:pPr>
        <w:pBdr>
          <w:right w:val="single" w:sz="12" w:space="10" w:color="8A6A1F"/>
        </w:pBdr>
        <w:spacing w:before="120" w:after="160" w:line="320" w:lineRule="auto"/>
        <w:ind w:left="504" w:right="504"/>
        <w:jc w:val="both"/>
      </w:pPr>
      <w:r>
        <w:rPr>
          <w:b/>
          <w:bCs/>
          <w:color w:val="1F5C3A"/>
          <w:sz w:val="36"/>
          <w:szCs w:val="36"/>
        </w:rPr>
        <w:t xml:space="preserve">الثوبُ يُنسَلُ من أطرافِه وأرى ... ثوبَ الجزيرةِ منسولًا من الوَسَطِ</w:t>
      </w:r>
      <w:r>
        <w:rPr>
          <w:rStyle w:val="a5"/>
          <w:sz w:val="36"/>
          <w:szCs w:val="36"/>
        </w:rPr>
        <w:footnoteReference w:id="3"/>
      </w:r>
    </w:p>
    <w:p>
      <w:pPr>
        <w:spacing w:after="140" w:line="340" w:lineRule="auto"/>
        <w:jc w:val="both"/>
      </w:pPr>
      <w:r>
        <w:rPr>
          <w:color w:val="1A1A1A"/>
          <w:sz w:val="36"/>
          <w:szCs w:val="36"/>
        </w:rPr>
        <w:t xml:space="preserve">وصدقَ القائل: **</w:t>
      </w:r>
      <w:r>
        <w:rPr>
          <w:b/>
          <w:bCs/>
          <w:color w:val="8A6A1F"/>
          <w:sz w:val="36"/>
          <w:szCs w:val="36"/>
        </w:rPr>
        <w:t xml:space="preserve">﴿وَلِكُلِّ أُمَّةٍ أَجَلٌ﴾</w:t>
      </w:r>
      <w:r>
        <w:rPr>
          <w:color w:val="1A1A1A"/>
          <w:sz w:val="36"/>
          <w:szCs w:val="36"/>
        </w:rPr>
        <w:t xml:space="preserve">**؛ وكما قال ابنُ نُباتةَ:</w:t>
      </w:r>
    </w:p>
    <w:p>
      <w:pPr>
        <w:pBdr>
          <w:right w:val="single" w:sz="12" w:space="10" w:color="8A6A1F"/>
        </w:pBdr>
        <w:spacing w:before="120" w:after="160" w:line="320" w:lineRule="auto"/>
        <w:ind w:left="504" w:right="504"/>
        <w:jc w:val="both"/>
      </w:pPr>
      <w:r>
        <w:rPr>
          <w:b/>
          <w:bCs/>
          <w:color w:val="1F5C3A"/>
          <w:sz w:val="36"/>
          <w:szCs w:val="36"/>
        </w:rPr>
        <w:t xml:space="preserve">لكلِّ شيءٍ إذا ما تمَّ نُقصانُ ... فلا يُغَرَّ بطِيبِ العيشِ إنسانُ</w:t>
      </w:r>
    </w:p>
    <w:p>
      <w:pPr>
        <w:spacing w:after="140" w:line="340" w:lineRule="auto"/>
        <w:jc w:val="both"/>
      </w:pPr>
      <w:r>
        <w:rPr>
          <w:color w:val="1A1A1A"/>
          <w:sz w:val="36"/>
          <w:szCs w:val="36"/>
        </w:rPr>
        <w:t xml:space="preserve">فتبدَّلَ الحالُ، والمسلمون طوائفُ يتناحرون. حتى خُسِرَتْ تلك الحاضرةُ بعد ثمانيةِ قرون؛ وإنّا للهِ وإنّا إليه راجعون.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 فخطبتُنا عن المحبَّةِ والوئام؛ فإنّ الإسلامَ حقًّا دينُ محبَّةٍ ووِئام: محبَّةٍ لأبنائِه، ووِئامٍ وعدلٍ مع غيرِهم.</w:t>
      </w:r>
    </w:p>
    <w:p>
      <w:pPr>
        <w:spacing w:after="140" w:line="340" w:lineRule="auto"/>
        <w:jc w:val="both"/>
      </w:pPr>
      <w:r>
        <w:rPr>
          <w:color w:val="1A1A1A"/>
          <w:sz w:val="36"/>
          <w:szCs w:val="36"/>
        </w:rPr>
        <w:t xml:space="preserve">ولكنّ الحديثَ عن المحبَّةِ في زمنِ الضَّعفِ يحتاجُ إلى تحرير؛ فأقولُ: هذه وسائلُ إن غابَتْ عن خطابِنا صارَ الكلامُ هواءً لا قيمةَ له.</w:t>
      </w:r>
    </w:p>
    <w:p>
      <w:pPr>
        <w:spacing w:before="260" w:after="120"/>
      </w:pPr>
      <w:r>
        <w:rPr>
          <w:b/>
          <w:bCs/>
          <w:color w:val="1F5C3A"/>
          <w:sz w:val="36"/>
          <w:szCs w:val="36"/>
        </w:rPr>
        <w:t xml:space="preserve">أولًا: إرساءُ قواعدِ التوحيدِ والعقيدةِ الصحيحة</w:t>
      </w:r>
    </w:p>
    <w:p>
      <w:pPr>
        <w:spacing w:after="140" w:line="340" w:lineRule="auto"/>
        <w:jc w:val="both"/>
      </w:pPr>
      <w:r>
        <w:rPr>
          <w:color w:val="1A1A1A"/>
          <w:sz w:val="36"/>
          <w:szCs w:val="36"/>
        </w:rPr>
        <w:t xml:space="preserve">فلن تسودَ المحبَّةُ الحقيقيةُ إلا إذا ربَّينا الأجيالَ على العقيدةِ الصحيحةِ ونقَّينا عقائدَهم من الشِّرك. وأمّا دعوةٌ إلى الوئامِ تُلغي فوارقَ الاعتقادِ فتُسوِّي بين من يعبُدُ اللهَ وبين من يعبُدُ سواه ـ فليست محبَّةً حقيقيةً بل تذويبٌ للثوابت.</w:t>
      </w:r>
    </w:p>
    <w:p>
      <w:pPr>
        <w:spacing w:after="140" w:line="340" w:lineRule="auto"/>
        <w:jc w:val="both"/>
      </w:pPr>
      <w:r>
        <w:rPr>
          <w:color w:val="1A1A1A"/>
          <w:sz w:val="36"/>
          <w:szCs w:val="36"/>
        </w:rPr>
        <w:t xml:space="preserve">فقولوا لمن يدعو إلى </w:t>
      </w:r>
      <w:r>
        <w:rPr>
          <w:b/>
          <w:bCs/>
          <w:color w:val="1F5C3A"/>
          <w:sz w:val="36"/>
          <w:szCs w:val="36"/>
        </w:rPr>
        <w:t xml:space="preserve">«وحدةِ الأديان»</w:t>
      </w:r>
      <w:r>
        <w:rPr>
          <w:color w:val="1A1A1A"/>
          <w:sz w:val="36"/>
          <w:szCs w:val="36"/>
        </w:rPr>
        <w:t xml:space="preserve">: </w:t>
      </w:r>
      <w:r>
        <w:rPr>
          <w:b/>
          <w:bCs/>
          <w:color w:val="8A6A1F"/>
          <w:sz w:val="36"/>
          <w:szCs w:val="36"/>
        </w:rPr>
        <w:t xml:space="preserve">﴿مَا كَانَ إِبْرَاهِيمُ يَهُودِيًّا وَلَا نَصْرَانِيًّا وَلَٰكِن كَانَ حَنِيفًا مُّسْلِمًا وَمَا كَانَ مِنَ الْمُشْرِكِينَ﴾</w:t>
      </w:r>
      <w:r>
        <w:rPr>
          <w:color w:val="1A1A1A"/>
          <w:sz w:val="36"/>
          <w:szCs w:val="36"/>
        </w:rPr>
        <w:t xml:space="preserve">. فعلِّمْ ولدَك التوحيدَ وإلا نَدِمتَ.</w:t>
      </w:r>
    </w:p>
    <w:p>
      <w:pPr>
        <w:spacing w:before="260" w:after="120"/>
      </w:pPr>
      <w:r>
        <w:rPr>
          <w:b/>
          <w:bCs/>
          <w:color w:val="1F5C3A"/>
          <w:sz w:val="36"/>
          <w:szCs w:val="36"/>
        </w:rPr>
        <w:t xml:space="preserve">ثانيًا: إرساءُ عقيدةِ الولاءِ والبراء</w:t>
      </w:r>
    </w:p>
    <w:p>
      <w:pPr>
        <w:spacing w:after="140" w:line="340" w:lineRule="auto"/>
        <w:jc w:val="both"/>
      </w:pPr>
      <w:r>
        <w:rPr>
          <w:color w:val="1A1A1A"/>
          <w:sz w:val="36"/>
          <w:szCs w:val="36"/>
        </w:rPr>
        <w:t xml:space="preserve">وهي من أعظمِ ما رُبِّيَ عليه الصحابةُ ﵃: فللمؤمنين الولاء، وللكافرين البراء، ولعُصاةِ الموحِّدين ولاءٌ بقدرِ إيمانِهم وبراءٌ بقدرِ معصيتِهم. قال تعالى: </w:t>
      </w:r>
      <w:r>
        <w:rPr>
          <w:b/>
          <w:bCs/>
          <w:color w:val="8A6A1F"/>
          <w:sz w:val="36"/>
          <w:szCs w:val="36"/>
        </w:rPr>
        <w:t xml:space="preserve">﴿لَّا تَجِدُ قَوْمًا يُؤْمِنُونَ بِاللَّهِ وَالْيَوْمِ الْآخِرِ يُوَادُّونَ مَنْ حَادَّ اللَّهَ وَرَسُولَهُ﴾</w:t>
      </w:r>
      <w:r>
        <w:rPr>
          <w:color w:val="1A1A1A"/>
          <w:sz w:val="36"/>
          <w:szCs w:val="36"/>
        </w:rPr>
        <w:t xml:space="preserve">.</w:t>
      </w:r>
    </w:p>
    <w:p>
      <w:pPr>
        <w:spacing w:after="140" w:line="340" w:lineRule="auto"/>
        <w:jc w:val="both"/>
      </w:pPr>
      <w:r>
        <w:rPr>
          <w:color w:val="1A1A1A"/>
          <w:sz w:val="36"/>
          <w:szCs w:val="36"/>
        </w:rPr>
        <w:t xml:space="preserve">**وها هنا تنبيهٌ لا بدَّ منه:** فإنّ البراءَ من الكفرِ لا يعني ظلمَ أهلِه ولا الاعتداءَ عليهم ولا نقضَ عهودِهم؛ فقد قال ﷺ:</w:t>
      </w:r>
    </w:p>
    <w:p>
      <w:pPr>
        <w:pBdr>
          <w:right w:val="single" w:sz="12" w:space="10" w:color="8A6A1F"/>
        </w:pBdr>
        <w:spacing w:before="120" w:after="160" w:line="320" w:lineRule="auto"/>
        <w:ind w:left="504" w:right="504"/>
        <w:jc w:val="both"/>
      </w:pPr>
      <w:r>
        <w:rPr>
          <w:b/>
          <w:bCs/>
          <w:color w:val="1F5C3A"/>
          <w:sz w:val="36"/>
          <w:szCs w:val="36"/>
        </w:rPr>
        <w:t xml:space="preserve">«مَن ظلَمَ مُعاهَدًا أو انتقَصَه أو كلَّفَه فوقَ طاقتِه، أو أخذَ منه شيئًا بغيرِ طِيبِ نفس، فأنا حَجيجُه يومَ القيامة»</w:t>
      </w:r>
      <w:r>
        <w:rPr>
          <w:rStyle w:val="a5"/>
          <w:sz w:val="36"/>
          <w:szCs w:val="36"/>
        </w:rPr>
        <w:footnoteReference w:id="4"/>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«مَن قتَلَ مُعاهَدًا لم يَرَحْ رائحةَ الجنة»</w:t>
      </w:r>
      <w:r>
        <w:rPr>
          <w:rStyle w:val="a5"/>
          <w:sz w:val="36"/>
          <w:szCs w:val="36"/>
        </w:rPr>
        <w:footnoteReference w:id="5"/>
      </w:r>
    </w:p>
    <w:p>
      <w:pPr>
        <w:spacing w:after="140" w:line="340" w:lineRule="auto"/>
        <w:jc w:val="both"/>
      </w:pPr>
      <w:r>
        <w:rPr>
          <w:color w:val="1A1A1A"/>
          <w:sz w:val="36"/>
          <w:szCs w:val="36"/>
        </w:rPr>
        <w:t xml:space="preserve">وقال تعالى: </w:t>
      </w:r>
      <w:r>
        <w:rPr>
          <w:b/>
          <w:bCs/>
          <w:color w:val="8A6A1F"/>
          <w:sz w:val="36"/>
          <w:szCs w:val="36"/>
        </w:rPr>
        <w:t xml:space="preserve">﴿لَّا يَنْهَاكُمُ اللَّهُ عَنِ الَّذِينَ لَمْ يُقَاتِلُوكُمْ فِي الدِّينِ وَلَمْ يُخْرِجُوكُم مِّن دِيَارِكُمْ أَن تَبَرُّوهُمْ وَتُقْسِطُوا إِلَيْهِمْ ۚ إِنَّ اللَّهَ يُحِبُّ الْمُقْسِطِينَ﴾</w:t>
      </w:r>
      <w:r>
        <w:rPr>
          <w:color w:val="1A1A1A"/>
          <w:sz w:val="36"/>
          <w:szCs w:val="36"/>
        </w:rPr>
        <w:t xml:space="preserve">. فالبراءُ عقيدةٌ في القلب، والعدلُ والوفاءُ بالعهدِ واجبٌ في السلوك؛ فلا تلازُمَ بين الأمرَين.</w:t>
      </w:r>
    </w:p>
    <w:p>
      <w:pPr>
        <w:spacing w:after="140" w:line="340" w:lineRule="auto"/>
        <w:jc w:val="both"/>
      </w:pPr>
      <w:r>
        <w:rPr>
          <w:color w:val="1A1A1A"/>
          <w:sz w:val="36"/>
          <w:szCs w:val="36"/>
        </w:rPr>
        <w:t xml:space="preserve">وهذا خالدُ بنُ الوليدِ ﵁ كان يقرأُ في كتابِ ربِّه ما نزلَ في أبيه: </w:t>
      </w:r>
      <w:r>
        <w:rPr>
          <w:b/>
          <w:bCs/>
          <w:color w:val="8A6A1F"/>
          <w:sz w:val="36"/>
          <w:szCs w:val="36"/>
        </w:rPr>
        <w:t xml:space="preserve">﴿ذَرْنِي وَمَنْ خَلَقْتُ وَحِيدًا﴾</w:t>
      </w:r>
      <w:r>
        <w:rPr>
          <w:color w:val="1A1A1A"/>
          <w:sz w:val="36"/>
          <w:szCs w:val="36"/>
        </w:rPr>
        <w:t xml:space="preserve"> ـ فما زحزَحَ ذلك من ولائِه لله. فإذا وُجِدَ في الأمَّةِ أمثالُ خالدٍ فأَبشِرْ بالخير.</w:t>
      </w:r>
    </w:p>
    <w:p>
      <w:pPr>
        <w:spacing w:before="260" w:after="120"/>
      </w:pPr>
      <w:r>
        <w:rPr>
          <w:b/>
          <w:bCs/>
          <w:color w:val="1F5C3A"/>
          <w:sz w:val="36"/>
          <w:szCs w:val="36"/>
        </w:rPr>
        <w:t xml:space="preserve">ثالثًا: أن تكونَ الأمَّةُ قويَّةً مَهيبة</w:t>
      </w:r>
    </w:p>
    <w:p>
      <w:pPr>
        <w:spacing w:after="140" w:line="340" w:lineRule="auto"/>
        <w:jc w:val="both"/>
      </w:pPr>
      <w:r>
        <w:rPr>
          <w:color w:val="1A1A1A"/>
          <w:sz w:val="36"/>
          <w:szCs w:val="36"/>
        </w:rPr>
        <w:t xml:space="preserve">فإنّ الوئامَ الذي لا تحرُسُه قوَّةٌ لا يَثبُت. قال تعالى: </w:t>
      </w:r>
      <w:r>
        <w:rPr>
          <w:b/>
          <w:bCs/>
          <w:color w:val="8A6A1F"/>
          <w:sz w:val="36"/>
          <w:szCs w:val="36"/>
        </w:rPr>
        <w:t xml:space="preserve">﴿وَأَعِدُّوا لَهُم مَّا اسْتَطَعْتُم مِّن قُوَّةٍ﴾</w:t>
      </w:r>
      <w:r>
        <w:rPr>
          <w:color w:val="1A1A1A"/>
          <w:sz w:val="36"/>
          <w:szCs w:val="36"/>
        </w:rPr>
        <w:t xml:space="preserve">، ثم قال بعدَها مباشرةً: </w:t>
      </w:r>
      <w:r>
        <w:rPr>
          <w:b/>
          <w:bCs/>
          <w:color w:val="8A6A1F"/>
          <w:sz w:val="36"/>
          <w:szCs w:val="36"/>
        </w:rPr>
        <w:t xml:space="preserve">﴿وَإِن جَنَحُوا لِلسَّلْمِ فَاجْنَحْ لَهَا وَتَوَكَّلْ عَلَى اللَّهِ﴾</w:t>
      </w:r>
      <w:r>
        <w:rPr>
          <w:color w:val="1A1A1A"/>
          <w:sz w:val="36"/>
          <w:szCs w:val="36"/>
        </w:rPr>
        <w:t xml:space="preserve">. فجمَعَ اللهُ بين الأمرَين: القوَّةُ لدفعِ العُدوان، والسِّلمُ إذا جنَحَ إليه الطرفُ الآخَر.</w:t>
      </w:r>
    </w:p>
    <w:p>
      <w:pPr>
        <w:spacing w:after="140" w:line="340" w:lineRule="auto"/>
        <w:jc w:val="both"/>
      </w:pPr>
      <w:r>
        <w:rPr>
          <w:color w:val="1A1A1A"/>
          <w:sz w:val="36"/>
          <w:szCs w:val="36"/>
        </w:rPr>
        <w:t xml:space="preserve">فالأمَّةُ القويَّةُ هي التي يُوثَقُ بسِلمِها ويُرجى وئامُها؛ لأنّ سِلمَها اختيارٌ لا اضطرار. وهذه القوَّةُ ـ في الشريعةِ ـ منوطةٌ بالدولةِ ورايةِ إمامِ المسلمين، لا بمُبادَراتِ الأفرادِ وأهوائِهم؛ فذلك بابُ فسادٍ عظيمٍ كما دلَّتْ عليه التجرِبة.</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جلَّ في عُلاه أن يُعيدَ لهذه الأمَّةِ مجدَها، وأن يجدِّدَ فيها أمثالَ من صلَحوا من سلَفِها، وأن يجعلَنا هُداةً مهتدين لا ضالِّين ولا مُضِلِّين؛ إنه وليُّ ذلك والقادرُ عليه.</w:t>
      </w:r>
    </w:p>
    <w:p>
      <w:pPr>
        <w:spacing w:after="140" w:line="340" w:lineRule="auto"/>
        <w:jc w:val="both"/>
      </w:pPr>
      <w:r>
        <w:rPr>
          <w:color w:val="1A1A1A"/>
          <w:sz w:val="36"/>
          <w:szCs w:val="36"/>
        </w:rPr>
        <w:t xml:space="preserve">اللهم احفَظْ بلادَ المسلمين، وأصلِحْ ذاتَ بينِهم، واجمَعْ كلمتَهم على الحقِّ والهُدى؛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رِثاءِ الأندلسِ لأبي البقاءِ الرُّنْديِّ ﵀، وهي من أشهرِ ما قيلَ في نكبةِ الأندلس.</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ممّا يُنقَلُ عن جماعةٍ من المؤرِّخين والمستشرقين في وصفِ قُرطُبةَ في عصرِها الزاهر؛ وتُذكَرُ هذه الأوصافُ في كتبِ تاريخِ الأندلسِ على وجهِ الإجمالِ لا التحديدِ الرقميِّ الدقيق.</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البيتانِ يُنسَبانِ لأبي إسحاقَ الإلبيريِّ وغيرِه من شعراءِ الأندلس، ويُروَيانِ في كتبِ الأدبِ بروايات.</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من حديث بعضِ أصحابِ النبيِّ ﷺ،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عمرو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