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﴿مَتَىٰ نَصْرُ اللَّهِ﴾</w:t>
      </w:r>
    </w:p>
    <w:p>
      <w:pPr>
        <w:spacing w:after="120"/>
      </w:pPr>
      <w:r>
        <w:rPr>
          <w:color w:val="8A6A1F"/>
          <w:sz w:val="36"/>
          <w:szCs w:val="36"/>
        </w:rPr>
        <w:t xml:space="preserve">من فتحِ تُسْتَرَ إلى أسبابِ النصر</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سؤالٌ على الشِّفاهِ الحزينة</w:t>
      </w:r>
    </w:p>
    <w:p>
      <w:pPr>
        <w:spacing w:after="140" w:line="340" w:lineRule="auto"/>
        <w:jc w:val="both"/>
      </w:pPr>
      <w:r>
        <w:rPr>
          <w:color w:val="1A1A1A"/>
          <w:sz w:val="36"/>
          <w:szCs w:val="36"/>
        </w:rPr>
        <w:t xml:space="preserve">وبعدُ، أحبَّتي في الله، معاشرَ المصلِّين: **</w:t>
      </w:r>
      <w:r>
        <w:rPr>
          <w:b/>
          <w:bCs/>
          <w:color w:val="8A6A1F"/>
          <w:sz w:val="36"/>
          <w:szCs w:val="36"/>
        </w:rPr>
        <w:t xml:space="preserve">﴿مَتَىٰ نَصْرُ اللَّهِ﴾</w:t>
      </w:r>
      <w:r>
        <w:rPr>
          <w:color w:val="1A1A1A"/>
          <w:sz w:val="36"/>
          <w:szCs w:val="36"/>
        </w:rPr>
        <w:t xml:space="preserve">** ـ سؤالٌ يرتسِمُ الآنَ على الشِّفاهِ مع دموعِ الثَّكالى وأنينِ الأطفالِ وقهرِ الرجال. سأُجيبُك أيها الحبيب؛ ولكنْ أستأذِنُك في رحلةٍ قصيرةٍ إلى **بلادِ فارس**.</w:t>
      </w:r>
    </w:p>
    <w:p>
      <w:pPr>
        <w:spacing w:before="260" w:after="120"/>
      </w:pPr>
      <w:r>
        <w:rPr>
          <w:b/>
          <w:bCs/>
          <w:color w:val="1F5C3A"/>
          <w:sz w:val="36"/>
          <w:szCs w:val="36"/>
        </w:rPr>
        <w:t xml:space="preserve">أولًا: مشهدٌ من فتحِ تُسْتَر</w:t>
      </w:r>
    </w:p>
    <w:p>
      <w:pPr>
        <w:spacing w:after="140" w:line="340" w:lineRule="auto"/>
        <w:jc w:val="both"/>
      </w:pPr>
      <w:r>
        <w:rPr>
          <w:color w:val="1A1A1A"/>
          <w:sz w:val="36"/>
          <w:szCs w:val="36"/>
        </w:rPr>
        <w:t xml:space="preserve">بعد القادسيةِ لم تَفتُرْ مكائدُ الفرسِ عن الاعتداءِ على المسلمين؛ حتى تحصَّنوا في مدينةٍ عظيمةٍ حصينةٍ اسمُها **تُسْتَر**، ضرَبوا حولَها خنادقَ وسورًا عاليًا تتقاصَرُ عن اعتلائِه هِمَمُ الأبطال.</w:t>
      </w:r>
    </w:p>
    <w:p>
      <w:pPr>
        <w:spacing w:after="140" w:line="340" w:lineRule="auto"/>
        <w:jc w:val="both"/>
      </w:pPr>
      <w:r>
        <w:rPr>
          <w:color w:val="1A1A1A"/>
          <w:sz w:val="36"/>
          <w:szCs w:val="36"/>
        </w:rPr>
        <w:t xml:space="preserve">فوصَلَتْ طلائعُ الفاتحينَ إلى أبوابِها ـ **كما ستصِلُ بإذنِ اللهِ طلائعُ الموحِّدينَ إلى أبوابِ الأقصى**. وحاصَرَ المسلمون المدينة؛ يخرُجُ الفرسُ بين حينٍ وحينٍ فيَقتُلون ويُقتَلون، وتكونُ الدائرةُ للمسلمين ـ لكنّهم يعجَزون عن اقتحامِها.</w:t>
      </w:r>
    </w:p>
    <w:p>
      <w:pPr>
        <w:spacing w:after="140" w:line="340" w:lineRule="auto"/>
        <w:jc w:val="both"/>
      </w:pPr>
      <w:r>
        <w:rPr>
          <w:color w:val="1A1A1A"/>
          <w:sz w:val="36"/>
          <w:szCs w:val="36"/>
        </w:rPr>
        <w:t xml:space="preserve">**وتمضي الأشهرُ تِلوَ الأشهر، وكأنّي بقلوبِ الصحابةِ تقول: </w:t>
      </w:r>
      <w:r>
        <w:rPr>
          <w:b/>
          <w:bCs/>
          <w:color w:val="8A6A1F"/>
          <w:sz w:val="36"/>
          <w:szCs w:val="36"/>
        </w:rPr>
        <w:t xml:space="preserve">﴿مَتَىٰ نَصْرُ اللَّهِ﴾</w:t>
      </w:r>
      <w:r>
        <w:rPr>
          <w:color w:val="1A1A1A"/>
          <w:sz w:val="36"/>
          <w:szCs w:val="36"/>
        </w:rPr>
        <w:t xml:space="preserve">!** ويمُرُّ عامٌ على الحصار، والصحابةُ مُفارِقونَ للأهلِ والديار.</w:t>
      </w:r>
    </w:p>
    <w:p>
      <w:pPr>
        <w:spacing w:after="140" w:line="340" w:lineRule="auto"/>
        <w:jc w:val="both"/>
      </w:pPr>
      <w:r>
        <w:rPr>
          <w:color w:val="1A1A1A"/>
          <w:sz w:val="36"/>
          <w:szCs w:val="36"/>
        </w:rPr>
        <w:t xml:space="preserve">فلمّا أرادَ اللهُ أن يتنزَّلَ الفتحُ، أقبلَ جماعةٌ من الصحابةِ ـ وفيهم أبو موسى الأشعريُّ وأنسُ بنُ مالكٍ ﵄ ـ على صحابيٍّ جليلٍ اسمُه **البَراءُ بنُ مالكٍ ﵁**، وقد قال فيه النبيُّ ﷺ:</w:t>
      </w:r>
    </w:p>
    <w:p>
      <w:pPr>
        <w:pBdr>
          <w:right w:val="single" w:sz="12" w:space="10" w:color="8A6A1F"/>
        </w:pBdr>
        <w:spacing w:before="120" w:after="160" w:line="320" w:lineRule="auto"/>
        <w:ind w:left="504" w:right="504"/>
        <w:jc w:val="both"/>
      </w:pPr>
      <w:r>
        <w:rPr>
          <w:b/>
          <w:bCs/>
          <w:color w:val="1F5C3A"/>
          <w:sz w:val="36"/>
          <w:szCs w:val="36"/>
        </w:rPr>
        <w:t xml:space="preserve">«رُبَّ أشعَثَ أغبَرَ ذي طِمْرَينِ لا يُؤبَهُ له، لو أقسمَ على اللهِ لَأَبَرَّه»</w:t>
      </w:r>
      <w:r>
        <w:rPr>
          <w:rStyle w:val="a5"/>
          <w:sz w:val="36"/>
          <w:szCs w:val="36"/>
        </w:rPr>
        <w:footnoteReference w:id="1"/>
      </w:r>
    </w:p>
    <w:p>
      <w:pPr>
        <w:spacing w:after="140" w:line="340" w:lineRule="auto"/>
        <w:jc w:val="both"/>
      </w:pPr>
      <w:r>
        <w:rPr>
          <w:color w:val="1A1A1A"/>
          <w:sz w:val="36"/>
          <w:szCs w:val="36"/>
        </w:rPr>
        <w:t xml:space="preserve">فقالوا: **يا بَراء، أَقسِمْ على ربِّك!** فأقبلَ بقلبِه يدعو ربَّه وقال:</w:t>
      </w:r>
    </w:p>
    <w:p>
      <w:pPr>
        <w:pBdr>
          <w:right w:val="single" w:sz="12" w:space="10" w:color="8A6A1F"/>
        </w:pBdr>
        <w:spacing w:before="120" w:after="160" w:line="320" w:lineRule="auto"/>
        <w:ind w:left="504" w:right="504"/>
        <w:jc w:val="both"/>
      </w:pPr>
      <w:r>
        <w:rPr>
          <w:b/>
          <w:bCs/>
          <w:color w:val="1F5C3A"/>
          <w:sz w:val="36"/>
          <w:szCs w:val="36"/>
        </w:rPr>
        <w:t xml:space="preserve">«اللهم أَقسَمتُ عليك أن تُمَكِّنَنا من أكتافِهم، وأن تُلحِقَني بنبيِّك ﷺ»</w:t>
      </w:r>
    </w:p>
    <w:p>
      <w:pPr>
        <w:spacing w:after="140" w:line="340" w:lineRule="auto"/>
        <w:jc w:val="both"/>
      </w:pPr>
      <w:r>
        <w:rPr>
          <w:color w:val="1A1A1A"/>
          <w:sz w:val="36"/>
          <w:szCs w:val="36"/>
        </w:rPr>
        <w:t xml:space="preserve">**وما هي إلا أوقاتٌ يسيرة** حتى جاء رجلٌ من أهلِ فارسَ يستأمِنُ، فقال: **إنّ تحت هذه الخنادقِ نفَقًا مائيًّا، إن استطعتُم الوصولَ إليه فثَمَّ بابٌ تدخُلون منه.** فانتُدِبَ لذلك رجالٌ من فرسانِ الماء، فغاصوا مدَّةً طويلةً حتى وصَلوا إلى النفَقِ ودخَلوا في جُنحِ الظلام، ثم فتَحوا الأبوابَ ووضَعوا القناطر، **وارتفعَ التكبير**؛ فدخلَ جيشُ المسلمين قُبَيلَ الفجر، فاستفاقَ الفرسُ على تكبيرِ الموحِّدين ـ **واستسلمَتِ المدينةُ الحصينةُ تحت رايةِ التوحيد**.</w:t>
      </w:r>
    </w:p>
    <w:p>
      <w:pPr>
        <w:spacing w:after="140" w:line="340" w:lineRule="auto"/>
        <w:jc w:val="both"/>
      </w:pPr>
      <w:r>
        <w:rPr>
          <w:color w:val="1A1A1A"/>
          <w:sz w:val="36"/>
          <w:szCs w:val="36"/>
        </w:rPr>
        <w:t xml:space="preserve">**وأُجيبَتْ دعوةُ البَراءِ ﵁ في الأمرَينِ معًا؛ فمُكِّنوا من أكتافِهم، ولحِقَ هو ﵁ بنبيِّه شهيدًا.**</w:t>
      </w:r>
      <w:r>
        <w:rPr>
          <w:rStyle w:val="a5"/>
          <w:sz w:val="36"/>
          <w:szCs w:val="36"/>
        </w:rPr>
        <w:footnoteReference w:id="2"/>
      </w:r>
    </w:p>
    <w:p>
      <w:pPr>
        <w:spacing w:after="140" w:line="340" w:lineRule="auto"/>
        <w:jc w:val="both"/>
      </w:pPr>
      <w:r>
        <w:rPr>
          <w:color w:val="1A1A1A"/>
          <w:sz w:val="36"/>
          <w:szCs w:val="36"/>
        </w:rPr>
        <w:t xml:space="preserve">**ثم اسمَعِ الخاتمة:** أشرقَتِ الشمسُ والمسلمون في شَغلِ القتال، **ففاتَتْهم صلاةُ الفجر**. يقولُ أنسُ بنُ مالكٍ ﵁ ـ وكان لا يذكُرُ تُسترَ إلا بكى:</w:t>
      </w:r>
    </w:p>
    <w:p>
      <w:pPr>
        <w:pBdr>
          <w:right w:val="single" w:sz="12" w:space="10" w:color="8A6A1F"/>
        </w:pBdr>
        <w:spacing w:before="120" w:after="160" w:line="320" w:lineRule="auto"/>
        <w:ind w:left="504" w:right="504"/>
        <w:jc w:val="both"/>
      </w:pPr>
      <w:r>
        <w:rPr>
          <w:b/>
          <w:bCs/>
          <w:color w:val="1F5C3A"/>
          <w:sz w:val="36"/>
          <w:szCs w:val="36"/>
        </w:rPr>
        <w:t xml:space="preserve">«وما تُسْتَرُ وما فيها! فاتَتْني فيها صلاةُ الفجر»</w:t>
      </w:r>
      <w:r>
        <w:rPr>
          <w:rStyle w:val="a5"/>
          <w:sz w:val="36"/>
          <w:szCs w:val="36"/>
        </w:rPr>
        <w:footnoteReference w:id="3"/>
      </w:r>
    </w:p>
    <w:p>
      <w:pPr>
        <w:spacing w:after="140" w:line="340" w:lineRule="auto"/>
        <w:jc w:val="both"/>
      </w:pPr>
      <w:r>
        <w:rPr>
          <w:color w:val="1A1A1A"/>
          <w:sz w:val="36"/>
          <w:szCs w:val="36"/>
        </w:rPr>
        <w:t xml:space="preserve">**يا شبابَ الإسلام: فاتَتْهم صلاةٌ واحدةٌ في فتحٍ عظيمٍ فبكَوا عليها؛ ونحن تفوتُنا الفجرُ كلَّ يوم ـ فكيف نسترِدُّ الأقصى؟!**</w:t>
      </w:r>
    </w:p>
    <w:p>
      <w:pPr>
        <w:spacing w:before="260" w:after="120"/>
      </w:pPr>
      <w:r>
        <w:rPr>
          <w:b/>
          <w:bCs/>
          <w:color w:val="1F5C3A"/>
          <w:sz w:val="36"/>
          <w:szCs w:val="36"/>
        </w:rPr>
        <w:t xml:space="preserve">ثانيًا: للنصرِ أسباب</w:t>
      </w:r>
    </w:p>
    <w:p>
      <w:pPr>
        <w:spacing w:after="140" w:line="340" w:lineRule="auto"/>
        <w:jc w:val="both"/>
      </w:pPr>
      <w:r>
        <w:rPr>
          <w:color w:val="1A1A1A"/>
          <w:sz w:val="36"/>
          <w:szCs w:val="36"/>
        </w:rPr>
        <w:t xml:space="preserve">فاللهُ جلَّ في عُلاه له **سُنَنٌ لا تتغيَّر**؛ وهو قادرٌ على أن ينصُرَ نبيَّه ﷺ في زُقاقِ مكةَ من غيرِ سبب، ولكنّه شرَعَ للنصرِ أسبابًا لا بدَّ أن يقومَ بها المسلمون. **أَما سألتَ نفسَك: لِمَ أَمَرَ اللهُ نبيَّه ﷺ بحفرِ الخندق؟ أَيَحتاجُ الموحِّدونَ إلى خندق؟** نعم؛ **فللنصرِ أسباب**.</w:t>
      </w:r>
    </w:p>
    <w:p>
      <w:pPr>
        <w:spacing w:before="200" w:after="100"/>
      </w:pPr>
      <w:r>
        <w:rPr>
          <w:b/>
          <w:bCs/>
          <w:color w:val="1A1A1A"/>
          <w:sz w:val="36"/>
          <w:szCs w:val="36"/>
        </w:rPr>
        <w:t xml:space="preserve">السببُ الأول: تعلُّقُ القلبِ باللهِ وبالآخرة</w:t>
      </w:r>
    </w:p>
    <w:p>
      <w:pPr>
        <w:spacing w:after="140" w:line="340" w:lineRule="auto"/>
        <w:jc w:val="both"/>
      </w:pPr>
      <w:r>
        <w:rPr>
          <w:color w:val="1A1A1A"/>
          <w:sz w:val="36"/>
          <w:szCs w:val="36"/>
        </w:rPr>
        <w:t xml:space="preserve">وأقولُها بكلِّ صراحة: **إنّ اللهَ إذا لم يَرَ في قلوبِنا سِواه نصَرَنا.** ولكنّ قلوبَنا اليومَ تعلَّقَتْ بالدنيا: بالوظائفِ والأرزاقِ والأولاد. **وقلبٌ يَجبُنُ عن كلمةِ الحقِّ خوفًا على دُرَيهِمات ـ كيف يُجاهِدُ في ساحاتِ الوغى؟!**</w:t>
      </w:r>
    </w:p>
    <w:p>
      <w:pPr>
        <w:spacing w:after="140" w:line="340" w:lineRule="auto"/>
        <w:jc w:val="both"/>
      </w:pPr>
      <w:r>
        <w:rPr>
          <w:color w:val="1A1A1A"/>
          <w:sz w:val="36"/>
          <w:szCs w:val="36"/>
        </w:rPr>
        <w:t xml:space="preserve">وقد لقَّنَ النبيُّ ﷺ الأمَّةَ درسًا لا تنساه وهو يحفِرُ الخندقَ شهرًا، ويربِطُ الحجَرَ على بطنِه، والعربُ بكَلكَلِها تُقبِلُ لقتالِه، والمُرجِفونَ يُرجِفون:</w:t>
      </w:r>
    </w:p>
    <w:p>
      <w:pPr>
        <w:pBdr>
          <w:right w:val="single" w:sz="12" w:space="10" w:color="8A6A1F"/>
        </w:pBdr>
        <w:spacing w:before="120" w:after="160" w:line="320" w:lineRule="auto"/>
        <w:ind w:left="504" w:right="504"/>
        <w:jc w:val="both"/>
      </w:pPr>
      <w:r>
        <w:rPr>
          <w:b/>
          <w:bCs/>
          <w:color w:val="1F5C3A"/>
          <w:sz w:val="36"/>
          <w:szCs w:val="36"/>
        </w:rPr>
        <w:t xml:space="preserve">«اللهم لا عيشَ إلا عيشُ الآخِرة، فاغفِرْ للأنصارِ والمُهاجِرة»</w:t>
      </w:r>
      <w:r>
        <w:rPr>
          <w:rStyle w:val="a5"/>
          <w:sz w:val="36"/>
          <w:szCs w:val="36"/>
        </w:rPr>
        <w:footnoteReference w:id="4"/>
      </w:r>
    </w:p>
    <w:p>
      <w:pPr>
        <w:spacing w:after="140" w:line="340" w:lineRule="auto"/>
        <w:jc w:val="both"/>
      </w:pPr>
      <w:r>
        <w:rPr>
          <w:color w:val="1A1A1A"/>
          <w:sz w:val="36"/>
          <w:szCs w:val="36"/>
        </w:rPr>
        <w:t xml:space="preserve">**نحن نقولُها اليومَ ونحن ندخُلُ قصورَنا وجميلَ دُورِنا!** أمّا هو ﷺ فقالَها وهو يحفِرُ الخندق؛ كأنه يقولُ لأصحابِه: **لن تُنصَروا إلا بقلوبٍ تعلَّقَتْ بالآخرة.**</w:t>
      </w:r>
    </w:p>
    <w:p>
      <w:pPr>
        <w:spacing w:after="140" w:line="340" w:lineRule="auto"/>
        <w:jc w:val="both"/>
      </w:pPr>
      <w:r>
        <w:rPr>
          <w:color w:val="1A1A1A"/>
          <w:sz w:val="36"/>
          <w:szCs w:val="36"/>
        </w:rPr>
        <w:t xml:space="preserve">وقال ﷺ في حديثِ ثَوبانَ ﵁: **</w:t>
      </w:r>
      <w:r>
        <w:rPr>
          <w:b/>
          <w:bCs/>
          <w:color w:val="1F5C3A"/>
          <w:sz w:val="36"/>
          <w:szCs w:val="36"/>
        </w:rPr>
        <w:t xml:space="preserve">«ولَيَقذِفَنَّ اللهُ في قلوبِكمُ الوَهَن»</w:t>
      </w:r>
      <w:r>
        <w:rPr>
          <w:color w:val="1A1A1A"/>
          <w:sz w:val="36"/>
          <w:szCs w:val="36"/>
        </w:rPr>
        <w:t xml:space="preserve">**؛ قالوا: وما الوَهَن؟ قال:</w:t>
      </w:r>
    </w:p>
    <w:p>
      <w:pPr>
        <w:pBdr>
          <w:right w:val="single" w:sz="12" w:space="10" w:color="8A6A1F"/>
        </w:pBdr>
        <w:spacing w:before="120" w:after="160" w:line="320" w:lineRule="auto"/>
        <w:ind w:left="504" w:right="504"/>
        <w:jc w:val="both"/>
      </w:pPr>
      <w:r>
        <w:rPr>
          <w:b/>
          <w:bCs/>
          <w:color w:val="1F5C3A"/>
          <w:sz w:val="36"/>
          <w:szCs w:val="36"/>
        </w:rPr>
        <w:t xml:space="preserve">«حُبُّ الدنيا وكراهيةُ الموت»</w:t>
      </w:r>
      <w:r>
        <w:rPr>
          <w:rStyle w:val="a5"/>
          <w:sz w:val="36"/>
          <w:szCs w:val="36"/>
        </w:rPr>
        <w:footnoteReference w:id="5"/>
      </w:r>
    </w:p>
    <w:p>
      <w:pPr>
        <w:spacing w:after="140" w:line="340" w:lineRule="auto"/>
        <w:jc w:val="both"/>
      </w:pPr>
      <w:r>
        <w:rPr>
          <w:color w:val="1A1A1A"/>
          <w:sz w:val="36"/>
          <w:szCs w:val="36"/>
        </w:rPr>
        <w:t xml:space="preserve">**فهل نحنُ اليومَ لا نُحِبُّ الدنيا؟ وهل نحنُ نُحِبُّ لقاءَ الله؟** إن كنّا كذلك فأَبشِرْ بالنصر؛ وإلا فلا يزالُ بيننا وبينه مسافة، أسألُ اللهَ أن تكونَ قريبة.</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w:t>
      </w:r>
    </w:p>
    <w:p>
      <w:pPr>
        <w:spacing w:before="200" w:after="100"/>
      </w:pPr>
      <w:r>
        <w:rPr>
          <w:b/>
          <w:bCs/>
          <w:color w:val="1A1A1A"/>
          <w:sz w:val="36"/>
          <w:szCs w:val="36"/>
        </w:rPr>
        <w:t xml:space="preserve">السببُ الثاني: تركُ الذنوبِ والمعاصي</w:t>
      </w:r>
    </w:p>
    <w:p>
      <w:pPr>
        <w:spacing w:after="140" w:line="340" w:lineRule="auto"/>
        <w:jc w:val="both"/>
      </w:pPr>
      <w:r>
        <w:rPr>
          <w:color w:val="1A1A1A"/>
          <w:sz w:val="36"/>
          <w:szCs w:val="36"/>
        </w:rPr>
        <w:t xml:space="preserve">**مُخطئٌ من يظُنُّ أنّ هذه الأمَّةَ تُنصَرُ بالعواطفِ والحماسات**؛ إنما نصرُها بالعودةِ إلى الله، وتحكيمِ شرعِه، والوقوفِ عند أوامرِه.</w:t>
      </w:r>
    </w:p>
    <w:p>
      <w:pPr>
        <w:spacing w:after="140" w:line="340" w:lineRule="auto"/>
        <w:jc w:val="both"/>
      </w:pPr>
      <w:r>
        <w:rPr>
          <w:color w:val="1A1A1A"/>
          <w:sz w:val="36"/>
          <w:szCs w:val="36"/>
        </w:rPr>
        <w:t xml:space="preserve">فإن قلتَ: وما علاقةُ إخوانِنا المُستضعَفينَ بذنبي وذنبِك؟ فأقول: **نحن جسدٌ واحد**؛ إذا اشتكى منه إصبَعٌ تألَّمَ الرأس. **فوَاللهِ ـ أيها العاصي وحاشاكم ـ إنّ ذنبَك سببٌ فيما يجري.**</w:t>
      </w:r>
    </w:p>
    <w:p>
      <w:pPr>
        <w:spacing w:after="140" w:line="340" w:lineRule="auto"/>
        <w:jc w:val="both"/>
      </w:pPr>
      <w:r>
        <w:rPr>
          <w:color w:val="1A1A1A"/>
          <w:sz w:val="36"/>
          <w:szCs w:val="36"/>
        </w:rPr>
        <w:t xml:space="preserve">اسمَعْ ـ يا من يتحرَّكُ قلبُه الآنَ ويُؤلِمُه ما يرى، ثم لا يزالُ تاركًا للصلاةِ مُقبِلًا على معصيةِ الله ـ قولَ حبيبِك ﷺ:</w:t>
      </w:r>
    </w:p>
    <w:p>
      <w:pPr>
        <w:pBdr>
          <w:right w:val="single" w:sz="12" w:space="10" w:color="8A6A1F"/>
        </w:pBdr>
        <w:spacing w:before="120" w:after="160" w:line="320" w:lineRule="auto"/>
        <w:ind w:left="504" w:right="504"/>
        <w:jc w:val="both"/>
      </w:pPr>
      <w:r>
        <w:rPr>
          <w:b/>
          <w:bCs/>
          <w:color w:val="1F5C3A"/>
          <w:sz w:val="36"/>
          <w:szCs w:val="36"/>
        </w:rPr>
        <w:t xml:space="preserve">«إذا تبايَعتُم بالعِينة، وأخذتُم أذنابَ البقر، ورضيتُم بالزرع، وترَكتُمُ الجهاد ـ سلَّطَ اللهُ عليكم ذُلًّا لا يَنزِعُه حتى ترجِعوا إلى دينِكم»</w:t>
      </w:r>
      <w:r>
        <w:rPr>
          <w:rStyle w:val="a5"/>
          <w:sz w:val="36"/>
          <w:szCs w:val="36"/>
        </w:rPr>
        <w:footnoteReference w:id="6"/>
      </w:r>
    </w:p>
    <w:p>
      <w:pPr>
        <w:spacing w:after="140" w:line="340" w:lineRule="auto"/>
        <w:jc w:val="both"/>
      </w:pPr>
      <w:r>
        <w:rPr>
          <w:color w:val="1A1A1A"/>
          <w:sz w:val="36"/>
          <w:szCs w:val="36"/>
        </w:rPr>
        <w:t xml:space="preserve">وقال الله: </w:t>
      </w:r>
      <w:r>
        <w:rPr>
          <w:b/>
          <w:bCs/>
          <w:color w:val="8A6A1F"/>
          <w:sz w:val="36"/>
          <w:szCs w:val="36"/>
        </w:rPr>
        <w:t xml:space="preserve">﴿إِنَّ اللَّهَ لَا يُغَيِّرُ مَا بِقَوْمٍ حَتَّىٰ يُغَيِّرُوا مَا بِأَنفُسِهِمْ﴾</w:t>
      </w:r>
      <w:r>
        <w:rPr>
          <w:color w:val="1A1A1A"/>
          <w:sz w:val="36"/>
          <w:szCs w:val="36"/>
        </w:rPr>
        <w:t xml:space="preserve">.</w:t>
      </w:r>
    </w:p>
    <w:p>
      <w:pPr>
        <w:spacing w:after="140" w:line="340" w:lineRule="auto"/>
        <w:jc w:val="both"/>
      </w:pPr>
      <w:r>
        <w:rPr>
          <w:color w:val="1A1A1A"/>
          <w:sz w:val="36"/>
          <w:szCs w:val="36"/>
        </w:rPr>
        <w:t xml:space="preserve">**فتِسعةٌ وتسعون ـ إلا من رحِمَ ربي ـ يتعاملون بالربا**، ثم نسألُ: متى نصرُ الله؟!</w:t>
      </w:r>
    </w:p>
    <w:p>
      <w:pPr>
        <w:spacing w:after="140" w:line="340" w:lineRule="auto"/>
        <w:jc w:val="both"/>
      </w:pPr>
      <w:r>
        <w:rPr>
          <w:color w:val="1A1A1A"/>
          <w:sz w:val="36"/>
          <w:szCs w:val="36"/>
        </w:rPr>
        <w:t xml:space="preserve">**وأبشِّرُكم في إخوانِنا القتلى:** فإنهم ـ بإذنِ اللهِ ـ شهداءُ فَرِحون مُستبشِرون؛ بل لو عادوا إلى الدنيا لتمنَّوا مثلَ هذه الميتة، فإنّ الشهادةَ اصطفاءٌ واختيارٌ من الله. **ولكنّ المشكلةَ عندي وعندك: ماذا قدَّمْنا لنصرةِ هذه الأمَّة؟**</w:t>
      </w:r>
    </w:p>
    <w:p>
      <w:pPr>
        <w:spacing w:before="200" w:after="100"/>
      </w:pPr>
      <w:r>
        <w:rPr>
          <w:b/>
          <w:bCs/>
          <w:color w:val="1A1A1A"/>
          <w:sz w:val="36"/>
          <w:szCs w:val="36"/>
        </w:rPr>
        <w:t xml:space="preserve">السببُ الثالث: تربيةُ القلوبِ على الولاءِ والبراء</w:t>
      </w:r>
    </w:p>
    <w:p>
      <w:pPr>
        <w:spacing w:after="140" w:line="340" w:lineRule="auto"/>
        <w:jc w:val="both"/>
      </w:pPr>
      <w:r>
        <w:rPr>
          <w:color w:val="1A1A1A"/>
          <w:sz w:val="36"/>
          <w:szCs w:val="36"/>
        </w:rPr>
        <w:t xml:space="preserve">فقضيةُ الأقصى وفلسطينَ والشامِ والعراقِ واليمنِ **قضيَّتي** ـ إن كنتُ مُنتَميًا حقًّا إلى هذا الجسد. **أمّا إن كان شأنُهم لا يعنيك، فأعتذِرُ إليك إن قلتُ إنّ انتماءَك إلى هذا الجسدِ انتماءٌ مدخول.**</w:t>
      </w:r>
    </w:p>
    <w:p>
      <w:pPr>
        <w:spacing w:after="140" w:line="340" w:lineRule="auto"/>
        <w:jc w:val="both"/>
      </w:pPr>
      <w:r>
        <w:rPr>
          <w:color w:val="1A1A1A"/>
          <w:sz w:val="36"/>
          <w:szCs w:val="36"/>
        </w:rPr>
        <w:t xml:space="preserve">**وأمّا إن كانت القضيةُ عندك قضيةَ أرقامٍ وطنيةٍ وحدودٍ غرَسَها </w:t>
      </w:r>
      <w:r>
        <w:rPr>
          <w:b/>
          <w:bCs/>
          <w:color w:val="1F5C3A"/>
          <w:sz w:val="36"/>
          <w:szCs w:val="36"/>
        </w:rPr>
        <w:t xml:space="preserve">«سايكس ـ بيكو»</w:t>
      </w:r>
      <w:r>
        <w:rPr>
          <w:color w:val="1A1A1A"/>
          <w:sz w:val="36"/>
          <w:szCs w:val="36"/>
        </w:rPr>
        <w:t xml:space="preserve">، فعقَدتَ الولاءَ والبراءَ على كُرةٍ أو عِرقٍ أو جنسية** ـ فوَاللهِ لن يتحقَّقَ النصرُ إلا إذا كان **الولاءُ للمؤمنين والبراءُ من الكافرين**. قال تعالى:</w:t>
      </w:r>
    </w:p>
    <w:p>
      <w:pPr>
        <w:pBdr>
          <w:right w:val="single" w:sz="12" w:space="10" w:color="8A6A1F"/>
        </w:pBdr>
        <w:spacing w:before="120" w:after="160" w:line="320" w:lineRule="auto"/>
        <w:ind w:left="504" w:right="504"/>
        <w:jc w:val="both"/>
      </w:pPr>
      <w:r>
        <w:rPr>
          <w:b/>
          <w:bCs/>
          <w:color w:val="8A6A1F"/>
          <w:sz w:val="36"/>
          <w:szCs w:val="36"/>
        </w:rPr>
        <w:t xml:space="preserve">﴿لَّا تَجِدُ قَوْمًا يُؤْمِنُونَ بِاللَّهِ وَالْيَوْمِ الْآخِرِ يُوَادُّونَ مَنْ حَادَّ اللَّهَ وَرَسُولَهُ وَلَوْ كَانُوا آبَاءَهُمْ أَوْ أَبْنَاءَهُمْ أَوْ إِخْوَانَهُمْ أَوْ عَشِيرَتَهُمْ﴾</w:t>
      </w:r>
    </w:p>
    <w:p>
      <w:pPr>
        <w:spacing w:after="140" w:line="340" w:lineRule="auto"/>
        <w:jc w:val="both"/>
      </w:pPr>
      <w:r>
        <w:rPr>
          <w:color w:val="1A1A1A"/>
          <w:sz w:val="36"/>
          <w:szCs w:val="36"/>
        </w:rPr>
        <w:t xml:space="preserve">**واليهودُ لا يُستَغرَبُ منهم ما يفعلون**؛ فقد قتَلوا الأنبياء ـ </w:t>
      </w:r>
      <w:r>
        <w:rPr>
          <w:b/>
          <w:bCs/>
          <w:color w:val="8A6A1F"/>
          <w:sz w:val="36"/>
          <w:szCs w:val="36"/>
        </w:rPr>
        <w:t xml:space="preserve">﴿وَيَقْتُلُونَ النَّبِيِّينَ بِغَيْرِ حَقٍّ﴾</w:t>
      </w:r>
      <w:r>
        <w:rPr>
          <w:color w:val="1A1A1A"/>
          <w:sz w:val="36"/>
          <w:szCs w:val="36"/>
        </w:rPr>
        <w:t xml:space="preserve"> ـ فكيف بالأبرياء؟! **وهم الذين يبُثُّون بيننا اليومَ كلَّ أسبابِ الولاءِ والبراءِ المدخول:** هو وليٌّ لك لأنك من بلدِه، هو وليٌّ لك لأنك من عشيرتِه، هو وليٌّ لك لأنه يُشجِّعُ فريقَك! **فأينَ الولاءُ لله؟ وأينَ الولاءُ للمؤمنين؟**</w:t>
      </w:r>
    </w:p>
    <w:p>
      <w:pPr>
        <w:spacing w:after="140" w:line="340" w:lineRule="auto"/>
        <w:jc w:val="both"/>
      </w:pPr>
      <w:r>
        <w:rPr>
          <w:color w:val="1A1A1A"/>
          <w:sz w:val="36"/>
          <w:szCs w:val="36"/>
        </w:rPr>
        <w:t xml:space="preserve">**فرَبِّ ولدَك على عقيدةِ الولاءِ والبراء** التي لا يزالون يطمِسونها؛ طمَسوها من الكُتُبِ ولكنْ لن تُطمَسَ من الصدور. **يُربّى الجيلُ اليومَ على أنّ </w:t>
      </w:r>
      <w:r>
        <w:rPr>
          <w:b/>
          <w:bCs/>
          <w:color w:val="1F5C3A"/>
          <w:sz w:val="36"/>
          <w:szCs w:val="36"/>
        </w:rPr>
        <w:t xml:space="preserve">«الآخَر»</w:t>
      </w:r>
      <w:r>
        <w:rPr>
          <w:color w:val="1A1A1A"/>
          <w:sz w:val="36"/>
          <w:szCs w:val="36"/>
        </w:rPr>
        <w:t xml:space="preserve"> رائعٌ إنسانيٌّ مُحِبٌّ للسلامِ مهما فعَل؛ والخَلقُ إنما هم مسلمٌ وكافر.** فرَبِّ ولدَك على البراءةِ من الكفرِ وأهلِه، وعلى بُغضِ من عادى اللهَ ورسولَه.</w:t>
      </w:r>
      <w:r>
        <w:rPr>
          <w:rStyle w:val="a5"/>
          <w:sz w:val="36"/>
          <w:szCs w:val="36"/>
        </w:rPr>
        <w:footnoteReference w:id="7"/>
      </w:r>
    </w:p>
    <w:p>
      <w:pPr>
        <w:spacing w:after="140" w:line="340" w:lineRule="auto"/>
        <w:jc w:val="both"/>
      </w:pPr>
      <w:r>
        <w:rPr>
          <w:color w:val="1A1A1A"/>
          <w:sz w:val="36"/>
          <w:szCs w:val="36"/>
        </w:rPr>
        <w:t xml:space="preserve">فلن تقومَ للأمَّةِ قائمةٌ إلا إذا عاشَتْ للهِ وفي اللهِ وعلى منهجِ الله، فأقامَتْ عقيدةَ الولاءِ والبراء ـ **حينَها نُنصَرُ بإذنِ الله.**</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العليَّ الأعلى بمَنِّه وكرمِه وجودِه أن ينصُرَ إخوانَنا المستضعَفين.</w:t>
      </w:r>
    </w:p>
    <w:p>
      <w:pPr>
        <w:spacing w:after="140" w:line="340" w:lineRule="auto"/>
        <w:jc w:val="both"/>
      </w:pPr>
      <w:r>
        <w:rPr>
          <w:color w:val="1A1A1A"/>
          <w:sz w:val="36"/>
          <w:szCs w:val="36"/>
        </w:rPr>
        <w:t xml:space="preserve">اللهم يا قويُّ يا متين، يا مُنزِلَ الكتاب، يا مُجرِيَ السحاب، يا هازمَ الأحزاب: **عليك باليهودِ المُعتدين فإنهم لا يُعجِزونك؛ اللهم اهزِمْهم وزلزِلِ الأرضَ من تحت أقدامِهم.**</w:t>
      </w:r>
      <w:r>
        <w:rPr>
          <w:rStyle w:val="a5"/>
          <w:sz w:val="36"/>
          <w:szCs w:val="36"/>
        </w:rPr>
        <w:footnoteReference w:id="8"/>
      </w:r>
      <w:r>
        <w:rPr>
          <w:color w:val="1A1A1A"/>
          <w:sz w:val="36"/>
          <w:szCs w:val="36"/>
        </w:rPr>
        <w:t xml:space="preserve"> اللهم قاتِلِ الكفَرةَ والمشركينَ الذين يقتُلون عبادَك وأولياءَك ويَصُدُّون عن دينِك.</w:t>
      </w:r>
    </w:p>
    <w:p>
      <w:pPr>
        <w:spacing w:after="140" w:line="340" w:lineRule="auto"/>
        <w:jc w:val="both"/>
      </w:pPr>
      <w:r>
        <w:rPr>
          <w:color w:val="1A1A1A"/>
          <w:sz w:val="36"/>
          <w:szCs w:val="36"/>
        </w:rPr>
        <w:t xml:space="preserve">اللهم علِّقْ قلوبَنا بك، وأَقِمْ رايةَ الجهادِ الحقِّ على منهجِ نبيِّك، واسلُكْنا في سبيلِه مُقبِلينَ غيرَ مُدبِرين، واجعَلْنا ممَّن يفتحُ ويَنصُرُ ويُصلِّي في الأقصى.</w:t>
      </w:r>
    </w:p>
    <w:p>
      <w:pPr>
        <w:spacing w:after="140" w:line="340" w:lineRule="auto"/>
        <w:jc w:val="both"/>
      </w:pPr>
      <w:r>
        <w:rPr>
          <w:color w:val="1A1A1A"/>
          <w:sz w:val="36"/>
          <w:szCs w:val="36"/>
        </w:rPr>
        <w:t xml:space="preserve">رَبَّاه، آمِنّا في أوطانِنا، واحفَظْ أئمَّتَنا ووُلاةَ أمورِنا، واجعَلْ هذا البلدَ آمنًا مطمئنًّا وسائرَ بلادِ المسلمين، ووفِّقْ مَلِكَ البلادِ لما تُحبُّه وترضاه؛ إنك على كلِّ شيءٍ قدير وبالإجابةِ جدير. ربَّنا آتِنا في الدنيا حسنةً وفي الآخرةِ حسنةً وقِنا عذابَ النار. وآخِرُ دعوانا أنِ الحمدُ للهِ ربِّ العالمين، وصلَّى اللهُ وسلَّمَ على عبدِه ونبيِّه محمدٍ وعلى آلِه وصحبِه أجمعين.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مسلمٌ من حديث أبي هريرة ﵁؛ وقد ورَدَ في بعضِ الرواياتِ تطبيقُ الصحابةِ ذلك على البَراءِ بنِ مالكٍ ﵁.</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أخبارِ فتوحِ فارس؛ رواها الطبريُّ في «تاريخه»، وابنُ الأثيرِ في «الكامل»، وابنُ كثيرٍ في «البداية والنهاية»، وأصلُ الفتحِ في «صحيح البخاري».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أنس بن مالك ﵁.</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أنسٍ وسهلِ بنِ سعدٍ ﵄.</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ثَوبانَ ﵁، وصححه الألباني.</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ابن عمر ﵄، وصححه الألباني.</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البراءةُ في أصلِها من الكفرِ وأهلِه، وهي عقيدةٌ قلبيةٌ لا تُبيحُ ظُلمَ معصومٍ ولا نقضَ عهدٍ ولا اعتداءً على مُعاهَد؛ قال ﷺ: «مَن ظلَمَ مُعاهَدًا أو انتقَصَه… فأنا حَجيجُه يومَ القيامة» ـ أخرجه أبو داود وحسَّنه الألباني.</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إشارةٌ إلى الدعاءِ المأثورِ المتفقِ عليه من حديث عبد الله بن أبي أوفى ﵁: «اللهم مُنزِلَ الكتاب، سريعَ الحساب، اهزِمِ الأحزاب؛ اللهم اهزِمْهم وزلزِلْهم».</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