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الغَضَبُ وآثارُه</w:t>
      </w:r>
    </w:p>
    <w:p>
      <w:pPr>
        <w:spacing w:after="120"/>
      </w:pPr>
      <w:r>
        <w:rPr>
          <w:color w:val="8A6A1F"/>
          <w:sz w:val="36"/>
          <w:szCs w:val="36"/>
        </w:rPr>
        <w:t xml:space="preserve">نوعاه، وآثارُه على الفردِ والمجتمع، وسُبُلُ عِلاجِه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خُلُقٌ ذميمٌ وعادةٌ سقيمة</w:t>
      </w:r>
    </w:p>
    <w:p>
      <w:pPr>
        <w:spacing w:after="140" w:line="340" w:lineRule="auto"/>
        <w:jc w:val="both"/>
      </w:pPr>
      <w:r>
        <w:rPr>
          <w:color w:val="1A1A1A"/>
          <w:sz w:val="36"/>
          <w:szCs w:val="36"/>
        </w:rPr>
        <w:t xml:space="preserve">وبعدُ، أحبَّتي في الله، معاشرَ المصلِّين: خُلُقٌ ذميمٌ وعادةٌ سقيمة، بها تَخرَبُ البيوتُ وتُقطَعُ الأرحامُ بل وتُسفَكُ الدماء. خُلُقٌ لا يكادُ يسلَمُ منه أحدٌ إلا من عصَمَه الواحدُ الأحد؛ يتَّقِدُ في القلبِ فتَغلي منه الدماء، ثم تفورُ حُمرةً في الوجهِ وانتفاخًا في الأوداج، ثم حدِّثْ ما شئتَ عن بَذاءةِ اللسانِ وسَفكِ الدماء.</w:t>
      </w:r>
    </w:p>
    <w:p>
      <w:pPr>
        <w:spacing w:after="140" w:line="340" w:lineRule="auto"/>
        <w:jc w:val="both"/>
      </w:pPr>
      <w:r>
        <w:rPr>
          <w:color w:val="1A1A1A"/>
          <w:sz w:val="36"/>
          <w:szCs w:val="36"/>
        </w:rPr>
        <w:t xml:space="preserve">إنه **الغَضَب**؛ الغضبُ الذي ملأَ البيوتَ والشوارعَ والطرُقات. فما نوعاه؟ وما آثارُه؟ وكيف نُعالِجُه؟</w:t>
      </w:r>
    </w:p>
    <w:p>
      <w:pPr>
        <w:spacing w:before="260" w:after="120"/>
      </w:pPr>
      <w:r>
        <w:rPr>
          <w:b/>
          <w:bCs/>
          <w:color w:val="1F5C3A"/>
          <w:sz w:val="36"/>
          <w:szCs w:val="36"/>
        </w:rPr>
        <w:t xml:space="preserve">أولًا: نوعا الغضب</w:t>
      </w:r>
    </w:p>
    <w:p>
      <w:pPr>
        <w:spacing w:before="200" w:after="100"/>
      </w:pPr>
      <w:r>
        <w:rPr>
          <w:b/>
          <w:bCs/>
          <w:color w:val="1A1A1A"/>
          <w:sz w:val="36"/>
          <w:szCs w:val="36"/>
        </w:rPr>
        <w:t xml:space="preserve">١) الغضبُ المحمود</w:t>
      </w:r>
    </w:p>
    <w:p>
      <w:pPr>
        <w:spacing w:after="140" w:line="340" w:lineRule="auto"/>
        <w:jc w:val="both"/>
      </w:pPr>
      <w:r>
        <w:rPr>
          <w:color w:val="1A1A1A"/>
          <w:sz w:val="36"/>
          <w:szCs w:val="36"/>
        </w:rPr>
        <w:t xml:space="preserve">وهو انبعاثُ ذلك الشعورِ من القلبِ وظهورُه على الوجهِ واللسانِ والجوارحِ حينما تُنتهَكُ حُرُماتُ الله. هو الغضبُ الذي يكونُ للهِ، ويغارُ فيه العبدُ على محارمِ ربِّه.</w:t>
      </w:r>
    </w:p>
    <w:p>
      <w:pPr>
        <w:spacing w:after="140" w:line="340" w:lineRule="auto"/>
        <w:jc w:val="both"/>
      </w:pPr>
      <w:r>
        <w:rPr>
          <w:color w:val="1A1A1A"/>
          <w:sz w:val="36"/>
          <w:szCs w:val="36"/>
        </w:rPr>
        <w:t xml:space="preserve">وهذا هو غضبُه ﷺ؛ تقولُ عائشةُ ﵂:</w:t>
      </w:r>
    </w:p>
    <w:p>
      <w:pPr>
        <w:pBdr>
          <w:right w:val="single" w:sz="12" w:space="10" w:color="8A6A1F"/>
        </w:pBdr>
        <w:spacing w:before="120" w:after="160" w:line="320" w:lineRule="auto"/>
        <w:ind w:left="504" w:right="504"/>
        <w:jc w:val="both"/>
      </w:pPr>
      <w:r>
        <w:rPr>
          <w:b/>
          <w:bCs/>
          <w:color w:val="1F5C3A"/>
          <w:sz w:val="36"/>
          <w:szCs w:val="36"/>
        </w:rPr>
        <w:t xml:space="preserve">«ما انتقمَ رسولُ اللهِ ﷺ لنفسِه في شيءٍ قطُّ إلا أن تُنتهَكَ حُرمةُ اللهِ فينتقِمَ للهِ بها»</w:t>
      </w:r>
      <w:r>
        <w:rPr>
          <w:rStyle w:val="a5"/>
          <w:sz w:val="36"/>
          <w:szCs w:val="36"/>
        </w:rPr>
        <w:footnoteReference w:id="1"/>
      </w:r>
    </w:p>
    <w:p>
      <w:pPr>
        <w:spacing w:after="140" w:line="340" w:lineRule="auto"/>
        <w:jc w:val="both"/>
      </w:pPr>
      <w:r>
        <w:rPr>
          <w:color w:val="1A1A1A"/>
          <w:sz w:val="36"/>
          <w:szCs w:val="36"/>
        </w:rPr>
        <w:t xml:space="preserve">وفي </w:t>
      </w:r>
      <w:r>
        <w:rPr>
          <w:b/>
          <w:bCs/>
          <w:color w:val="1F5C3A"/>
          <w:sz w:val="36"/>
          <w:szCs w:val="36"/>
        </w:rPr>
        <w:t xml:space="preserve">«الصحيحين»</w:t>
      </w:r>
      <w:r>
        <w:rPr>
          <w:color w:val="1A1A1A"/>
          <w:sz w:val="36"/>
          <w:szCs w:val="36"/>
        </w:rPr>
        <w:t xml:space="preserve"> عنها ﵂ أنّ النبيَّ ﷺ دخلَ عليها وفي البيتِ قِرامٌ فيه تصاوير، فتلوَّنَ وجهُه ثم تناولَ السِّترَ فهتَكَه.</w:t>
      </w:r>
      <w:r>
        <w:rPr>
          <w:rStyle w:val="a5"/>
          <w:sz w:val="36"/>
          <w:szCs w:val="36"/>
        </w:rPr>
        <w:footnoteReference w:id="2"/>
      </w:r>
      <w:r>
        <w:rPr>
          <w:color w:val="1A1A1A"/>
          <w:sz w:val="36"/>
          <w:szCs w:val="36"/>
        </w:rPr>
        <w:t xml:space="preserve"> وفي </w:t>
      </w:r>
      <w:r>
        <w:rPr>
          <w:b/>
          <w:bCs/>
          <w:color w:val="1F5C3A"/>
          <w:sz w:val="36"/>
          <w:szCs w:val="36"/>
        </w:rPr>
        <w:t xml:space="preserve">«الصحيحين»</w:t>
      </w:r>
      <w:r>
        <w:rPr>
          <w:color w:val="1A1A1A"/>
          <w:sz w:val="36"/>
          <w:szCs w:val="36"/>
        </w:rPr>
        <w:t xml:space="preserve"> أنه ﷺ رأى نُخامةً في قِبلةِ المسجدِ فشقَّ ذلك عليه حتى رُئيَ في وجهِه، فقامَ فحكَّها بيدِه.</w:t>
      </w:r>
      <w:r>
        <w:rPr>
          <w:rStyle w:val="a5"/>
          <w:sz w:val="36"/>
          <w:szCs w:val="36"/>
        </w:rPr>
        <w:footnoteReference w:id="3"/>
      </w:r>
    </w:p>
    <w:p>
      <w:pPr>
        <w:spacing w:after="140" w:line="340" w:lineRule="auto"/>
        <w:jc w:val="both"/>
      </w:pPr>
      <w:r>
        <w:rPr>
          <w:color w:val="1A1A1A"/>
          <w:sz w:val="36"/>
          <w:szCs w:val="36"/>
        </w:rPr>
        <w:t xml:space="preserve">فأسألُك بالله: كم غَضْبةً كانت في قلبِك ولسانِك لمّا ضيَّعَ ولدُك الفجر؟ وكم غضبةً لمّا سمِعتَ من يَعتدي على حُرُماتِ الله؟ أم أنك لا تعرِفُ الغضبَ إلا لنفسِك؟</w:t>
      </w:r>
    </w:p>
    <w:p>
      <w:pPr>
        <w:spacing w:before="200" w:after="100"/>
      </w:pPr>
      <w:r>
        <w:rPr>
          <w:b/>
          <w:bCs/>
          <w:color w:val="1A1A1A"/>
          <w:sz w:val="36"/>
          <w:szCs w:val="36"/>
        </w:rPr>
        <w:t xml:space="preserve">٢) الغضبُ المذموم</w:t>
      </w:r>
    </w:p>
    <w:p>
      <w:pPr>
        <w:spacing w:after="140" w:line="340" w:lineRule="auto"/>
        <w:jc w:val="both"/>
      </w:pPr>
      <w:r>
        <w:rPr>
          <w:color w:val="1A1A1A"/>
          <w:sz w:val="36"/>
          <w:szCs w:val="36"/>
        </w:rPr>
        <w:t xml:space="preserve">وهو كلُّ غضبٍ لا يكونُ للهِ ولا لدينِه ولا غَيرةً على حُرُماتِه؛ فهو غضبٌ مذمومٌ يُؤذي القلبَ واللسانَ والجوارح، وستُحاسَبُ عليه.</w:t>
      </w:r>
    </w:p>
    <w:p>
      <w:pPr>
        <w:spacing w:after="140" w:line="340" w:lineRule="auto"/>
        <w:jc w:val="both"/>
      </w:pPr>
      <w:r>
        <w:rPr>
          <w:color w:val="1A1A1A"/>
          <w:sz w:val="36"/>
          <w:szCs w:val="36"/>
        </w:rPr>
        <w:t xml:space="preserve">ولذلك اهتمَّ به النبيُّ ﷺ فعالَجَه؛ جاءه رجلٌ فقال: يا رسولَ الله، أَوصِني. فماذا تتوقَّعون أن تكونَ الوصية؟ قال ﷺ:</w:t>
      </w:r>
    </w:p>
    <w:p>
      <w:pPr>
        <w:pBdr>
          <w:right w:val="single" w:sz="12" w:space="10" w:color="8A6A1F"/>
        </w:pBdr>
        <w:spacing w:before="120" w:after="160" w:line="320" w:lineRule="auto"/>
        <w:ind w:left="504" w:right="504"/>
        <w:jc w:val="both"/>
      </w:pPr>
      <w:r>
        <w:rPr>
          <w:b/>
          <w:bCs/>
          <w:color w:val="1F5C3A"/>
          <w:sz w:val="36"/>
          <w:szCs w:val="36"/>
        </w:rPr>
        <w:t xml:space="preserve">«لا تغضَبْ»</w:t>
      </w:r>
    </w:p>
    <w:p>
      <w:pPr>
        <w:spacing w:after="140" w:line="340" w:lineRule="auto"/>
        <w:jc w:val="both"/>
      </w:pPr>
      <w:r>
        <w:rPr>
          <w:color w:val="1A1A1A"/>
          <w:sz w:val="36"/>
          <w:szCs w:val="36"/>
        </w:rPr>
        <w:t xml:space="preserve">فردَّدَ مِرارًا، فقال: </w:t>
      </w:r>
      <w:r>
        <w:rPr>
          <w:b/>
          <w:bCs/>
          <w:color w:val="1F5C3A"/>
          <w:sz w:val="36"/>
          <w:szCs w:val="36"/>
        </w:rPr>
        <w:t xml:space="preserve">«لا تغضَبْ»</w:t>
      </w:r>
      <w:r>
        <w:rPr>
          <w:color w:val="1A1A1A"/>
          <w:sz w:val="36"/>
          <w:szCs w:val="36"/>
        </w:rPr>
        <w:t xml:space="preserve">.</w:t>
      </w:r>
      <w:r>
        <w:rPr>
          <w:rStyle w:val="a5"/>
          <w:sz w:val="36"/>
          <w:szCs w:val="36"/>
        </w:rPr>
        <w:footnoteReference w:id="4"/>
      </w:r>
      <w:r>
        <w:rPr>
          <w:color w:val="1A1A1A"/>
          <w:sz w:val="36"/>
          <w:szCs w:val="36"/>
        </w:rPr>
        <w:t xml:space="preserve"> لأنّ مِلاكَ الخيرِ في تركِ الغضب. وقال ﷺ:</w:t>
      </w:r>
    </w:p>
    <w:p>
      <w:pPr>
        <w:pBdr>
          <w:right w:val="single" w:sz="12" w:space="10" w:color="8A6A1F"/>
        </w:pBdr>
        <w:spacing w:before="120" w:after="160" w:line="320" w:lineRule="auto"/>
        <w:ind w:left="504" w:right="504"/>
        <w:jc w:val="both"/>
      </w:pPr>
      <w:r>
        <w:rPr>
          <w:b/>
          <w:bCs/>
          <w:color w:val="1F5C3A"/>
          <w:sz w:val="36"/>
          <w:szCs w:val="36"/>
        </w:rPr>
        <w:t xml:space="preserve">«ليس الشديدُ بالصُّرَعة، إنما الشديدُ الذي يملِكُ نفسَه عند الغضب»</w:t>
      </w:r>
      <w:r>
        <w:rPr>
          <w:rStyle w:val="a5"/>
          <w:sz w:val="36"/>
          <w:szCs w:val="36"/>
        </w:rPr>
        <w:footnoteReference w:id="5"/>
      </w:r>
    </w:p>
    <w:p>
      <w:pPr>
        <w:spacing w:after="140" w:line="340" w:lineRule="auto"/>
        <w:jc w:val="both"/>
      </w:pPr>
      <w:r>
        <w:rPr>
          <w:color w:val="1A1A1A"/>
          <w:sz w:val="36"/>
          <w:szCs w:val="36"/>
        </w:rPr>
        <w:t xml:space="preserve">فليس الشديدُ من يَصرَعُ الرجال، ولا من يرُدُّ الإساءةَ إساءتَين؛ إنما الشديدُ من مَلَكَ نفسَه حين يثورُ الغضبُ في قلبِه.</w:t>
      </w:r>
    </w:p>
    <w:p>
      <w:pPr>
        <w:spacing w:after="140" w:line="340" w:lineRule="auto"/>
        <w:jc w:val="both"/>
      </w:pPr>
      <w:r>
        <w:rPr>
          <w:color w:val="1A1A1A"/>
          <w:sz w:val="36"/>
          <w:szCs w:val="36"/>
        </w:rPr>
        <w:t xml:space="preserve">وقد قال الحسنُ البصريُّ ﵀: أربعٌ من كُنَّ فيه عصَمَه اللهُ من الشيطانِ وحرَّمَه على النار: من مَلَكَ نفسَه عند الرغبةِ والرَّهبةِ والشهوةِ والغضب.</w:t>
      </w:r>
      <w:r>
        <w:rPr>
          <w:rStyle w:val="a5"/>
          <w:sz w:val="36"/>
          <w:szCs w:val="36"/>
        </w:rPr>
        <w:footnoteReference w:id="6"/>
      </w:r>
    </w:p>
    <w:p>
      <w:pPr>
        <w:spacing w:before="260" w:after="120"/>
      </w:pPr>
      <w:r>
        <w:rPr>
          <w:b/>
          <w:bCs/>
          <w:color w:val="1F5C3A"/>
          <w:sz w:val="36"/>
          <w:szCs w:val="36"/>
        </w:rPr>
        <w:t xml:space="preserve">ثانيًا: آثارُ الغضب</w:t>
      </w:r>
    </w:p>
    <w:p>
      <w:pPr>
        <w:spacing w:before="200" w:after="100"/>
      </w:pPr>
      <w:r>
        <w:rPr>
          <w:b/>
          <w:bCs/>
          <w:color w:val="1A1A1A"/>
          <w:sz w:val="36"/>
          <w:szCs w:val="36"/>
        </w:rPr>
        <w:t xml:space="preserve">١) بَذاءةُ اللسان</w:t>
      </w:r>
    </w:p>
    <w:p>
      <w:pPr>
        <w:spacing w:after="140" w:line="340" w:lineRule="auto"/>
        <w:jc w:val="both"/>
      </w:pPr>
      <w:r>
        <w:rPr>
          <w:color w:val="1A1A1A"/>
          <w:sz w:val="36"/>
          <w:szCs w:val="36"/>
        </w:rPr>
        <w:t xml:space="preserve">فترى لسانَ الغَضبانِ ـ وقد أُغلِقَتْ عليه مجاري العقلِ والإدراك، واحمرَّ وجهُه وعلا صوتُه ـ يسُبُّ ويشتُمُ ما يقشعِرُّ منه قلبُ المسلم. بل قد يتعدّى ذلك إلى المَهالك، فيتلفَّظُ بالكفرِ ـ نسألُ اللهَ السلامةَ والعافية!</w:t>
      </w:r>
    </w:p>
    <w:p>
      <w:pPr>
        <w:spacing w:after="140" w:line="340" w:lineRule="auto"/>
        <w:jc w:val="both"/>
      </w:pPr>
      <w:r>
        <w:rPr>
          <w:color w:val="1A1A1A"/>
          <w:sz w:val="36"/>
          <w:szCs w:val="36"/>
        </w:rPr>
        <w:t xml:space="preserve">يتَّصِلُ بك: يا شيخُ، سبَبتُ الدين، كنتُ غضبانَ! فاتَّقِ اللهَ؛ فإنّ سبَّ اللهِ وسبَّ الدينِ كفرٌ صريحٌ بإجماعِ المسلمين. وواللهِ لو عُرِضَتْ على أحدِنا صورتُه وهو يتكلَّمُ حالَ الغضبِ لَتبرَّأَ من نفسِه.</w:t>
      </w:r>
    </w:p>
    <w:p>
      <w:pPr>
        <w:spacing w:before="200" w:after="100"/>
      </w:pPr>
      <w:r>
        <w:rPr>
          <w:b/>
          <w:bCs/>
          <w:color w:val="1A1A1A"/>
          <w:sz w:val="36"/>
          <w:szCs w:val="36"/>
        </w:rPr>
        <w:t xml:space="preserve">٢) أذيَّةُ الجوارح</w:t>
      </w:r>
    </w:p>
    <w:p>
      <w:pPr>
        <w:spacing w:after="140" w:line="340" w:lineRule="auto"/>
        <w:jc w:val="both"/>
      </w:pPr>
      <w:r>
        <w:rPr>
          <w:color w:val="1A1A1A"/>
          <w:sz w:val="36"/>
          <w:szCs w:val="36"/>
        </w:rPr>
        <w:t xml:space="preserve">فإنّ الغَضبانَ يعتدي بيدِه كما اعتدى بلسانِه: يكسِرُ ويضرِبُ بل ويقتُل. وحدِّثوني عن جريمةِ قتلٍ لم يسبِقْها غضب!</w:t>
      </w:r>
    </w:p>
    <w:p>
      <w:pPr>
        <w:spacing w:before="200" w:after="100"/>
      </w:pPr>
      <w:r>
        <w:rPr>
          <w:b/>
          <w:bCs/>
          <w:color w:val="1A1A1A"/>
          <w:sz w:val="36"/>
          <w:szCs w:val="36"/>
        </w:rPr>
        <w:t xml:space="preserve">٣) خرابُ البيوت</w:t>
      </w:r>
    </w:p>
    <w:p>
      <w:pPr>
        <w:spacing w:after="140" w:line="340" w:lineRule="auto"/>
        <w:jc w:val="both"/>
      </w:pPr>
      <w:r>
        <w:rPr>
          <w:color w:val="1A1A1A"/>
          <w:sz w:val="36"/>
          <w:szCs w:val="36"/>
        </w:rPr>
        <w:t xml:space="preserve">فإنّ الطلاقَ الذي صارَ أُلعوبةً في ألسنةِ الرجالِ سببُه الغضب. لو تأمَّلتُم حالَ المحاكمِ في قضايا الطلاقِ لوجدتُم السببَ الغضب. تأخُذُ العهدَ على أبيها ألّا تُطلِّقَها إذا غضِبتَ ثم لا تفي!</w:t>
      </w:r>
    </w:p>
    <w:p>
      <w:pPr>
        <w:spacing w:after="140" w:line="340" w:lineRule="auto"/>
        <w:jc w:val="both"/>
      </w:pPr>
      <w:r>
        <w:rPr>
          <w:color w:val="1A1A1A"/>
          <w:sz w:val="36"/>
          <w:szCs w:val="36"/>
        </w:rPr>
        <w:t xml:space="preserve">وأُنبِّهُ هنا: إنّ مَن يتعلَّلُ بالغضبِ في الطلاقِ فيقولُ </w:t>
      </w:r>
      <w:r>
        <w:rPr>
          <w:b/>
          <w:bCs/>
          <w:color w:val="1F5C3A"/>
          <w:sz w:val="36"/>
          <w:szCs w:val="36"/>
        </w:rPr>
        <w:t xml:space="preserve">«طلاقُ الغَضبانِ لا يقع»</w:t>
      </w:r>
      <w:r>
        <w:rPr>
          <w:color w:val="1A1A1A"/>
          <w:sz w:val="36"/>
          <w:szCs w:val="36"/>
        </w:rPr>
        <w:t xml:space="preserve"> على الإطلاقِ ـ فقولُه غيرُ مُحرَّر. فإنّ أهلَ العلمِ فصَّلوا في الغضب: فمنه ما يبلُغُ بصاحبِه الإغلاقَ التامَّ حتى لا يدريَ ما يقول، وهذا لا يقعُ طلاقُه؛ لقولِه ﷺ:</w:t>
      </w:r>
    </w:p>
    <w:p>
      <w:pPr>
        <w:pBdr>
          <w:right w:val="single" w:sz="12" w:space="10" w:color="8A6A1F"/>
        </w:pBdr>
        <w:spacing w:before="120" w:after="160" w:line="320" w:lineRule="auto"/>
        <w:ind w:left="504" w:right="504"/>
        <w:jc w:val="both"/>
      </w:pPr>
      <w:r>
        <w:rPr>
          <w:b/>
          <w:bCs/>
          <w:color w:val="1F5C3A"/>
          <w:sz w:val="36"/>
          <w:szCs w:val="36"/>
        </w:rPr>
        <w:t xml:space="preserve">«لا طلاقَ ولا عَتاقَ في إغلاق»</w:t>
      </w:r>
      <w:r>
        <w:rPr>
          <w:rStyle w:val="a5"/>
          <w:sz w:val="36"/>
          <w:szCs w:val="36"/>
        </w:rPr>
        <w:footnoteReference w:id="7"/>
      </w:r>
    </w:p>
    <w:p>
      <w:pPr>
        <w:spacing w:after="140" w:line="340" w:lineRule="auto"/>
        <w:jc w:val="both"/>
      </w:pPr>
      <w:r>
        <w:rPr>
          <w:color w:val="1A1A1A"/>
          <w:sz w:val="36"/>
          <w:szCs w:val="36"/>
        </w:rPr>
        <w:t xml:space="preserve">ومنه غضبٌ يسيرٌ لا يُخرِجُ عن الإدراك، وهذا يقعُ به الطلاقُ عند الجمهور؛ إذ لا أحدَ يُطلِّقُ زوجتَه وهو يضحك. والمسألةُ من دقائقِ الفقهِ التي تختلفُ باختلافِ الحال، فلا يُفتى فيها إلا بعد النظرِ في واقعةِ السائلِ بعينِها.</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فأسألُ اللهَ العليَّ الأعلى أن يُعيذَني وإياكم من الغضبِ المذموم؛ إنه وليُّ ذلك والقادرُ عليه. 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 فكيف نُعالِجُ الغضبَ المذموم؟</w:t>
      </w:r>
    </w:p>
    <w:p>
      <w:pPr>
        <w:spacing w:before="260" w:after="120"/>
      </w:pPr>
      <w:r>
        <w:rPr>
          <w:b/>
          <w:bCs/>
          <w:color w:val="1F5C3A"/>
          <w:sz w:val="36"/>
          <w:szCs w:val="36"/>
        </w:rPr>
        <w:t xml:space="preserve">ثالثًا: عِلاجُ الغضب</w:t>
      </w:r>
    </w:p>
    <w:p>
      <w:pPr>
        <w:spacing w:before="200" w:after="100"/>
      </w:pPr>
      <w:r>
        <w:rPr>
          <w:b/>
          <w:bCs/>
          <w:color w:val="1A1A1A"/>
          <w:sz w:val="36"/>
          <w:szCs w:val="36"/>
        </w:rPr>
        <w:t xml:space="preserve">١) الاستعاذةُ باللهِ من الشيطانِ الرجيم</w:t>
      </w:r>
    </w:p>
    <w:p>
      <w:pPr>
        <w:spacing w:after="140" w:line="340" w:lineRule="auto"/>
        <w:jc w:val="both"/>
      </w:pPr>
      <w:r>
        <w:rPr>
          <w:color w:val="1A1A1A"/>
          <w:sz w:val="36"/>
          <w:szCs w:val="36"/>
        </w:rPr>
        <w:t xml:space="preserve">في حديث سُلَيمانَ بنِ صُرَدٍ ﵁ قال: استبَّ رجلانِ عند النبيِّ ﷺ ونحن عنده جلوس، وأحدُهما يسُبُّ صاحبَه مُغضَبًا قد احمرَّ وجهُه؛ فقال ﷺ:</w:t>
      </w:r>
    </w:p>
    <w:p>
      <w:pPr>
        <w:pBdr>
          <w:right w:val="single" w:sz="12" w:space="10" w:color="8A6A1F"/>
        </w:pBdr>
        <w:spacing w:before="120" w:after="160" w:line="320" w:lineRule="auto"/>
        <w:ind w:left="504" w:right="504"/>
        <w:jc w:val="both"/>
      </w:pPr>
      <w:r>
        <w:rPr>
          <w:b/>
          <w:bCs/>
          <w:color w:val="1F5C3A"/>
          <w:sz w:val="36"/>
          <w:szCs w:val="36"/>
        </w:rPr>
        <w:t xml:space="preserve">«إني لَأعلمُ كلمةً لو قالَها لذهبَ عنه ما يجِد: لو قال: أعوذُ باللهِ من الشيطانِ الرجيم»</w:t>
      </w:r>
      <w:r>
        <w:rPr>
          <w:rStyle w:val="a5"/>
          <w:sz w:val="36"/>
          <w:szCs w:val="36"/>
        </w:rPr>
        <w:footnoteReference w:id="8"/>
      </w:r>
    </w:p>
    <w:p>
      <w:pPr>
        <w:spacing w:after="140" w:line="340" w:lineRule="auto"/>
        <w:jc w:val="both"/>
      </w:pPr>
      <w:r>
        <w:rPr>
          <w:color w:val="1A1A1A"/>
          <w:sz w:val="36"/>
          <w:szCs w:val="36"/>
        </w:rPr>
        <w:t xml:space="preserve">فاحفَظْ هذه الكلمة؛ فإنّ ابنَ القيِّمِ ﵀ قرَّرَ أنّ من أعظمِ مداخلِ إبليسَ على العبدِ الغضب؛ فبه يسُبُّ ويُطلِّقُ ويقتُل.</w:t>
      </w:r>
    </w:p>
    <w:p>
      <w:pPr>
        <w:spacing w:before="200" w:after="100"/>
      </w:pPr>
      <w:r>
        <w:rPr>
          <w:b/>
          <w:bCs/>
          <w:color w:val="1A1A1A"/>
          <w:sz w:val="36"/>
          <w:szCs w:val="36"/>
        </w:rPr>
        <w:t xml:space="preserve">٢) تغييرُ الحالِ والانتقال</w:t>
      </w:r>
    </w:p>
    <w:p>
      <w:pPr>
        <w:spacing w:after="140" w:line="340" w:lineRule="auto"/>
        <w:jc w:val="both"/>
      </w:pPr>
      <w:r>
        <w:rPr>
          <w:color w:val="1A1A1A"/>
          <w:sz w:val="36"/>
          <w:szCs w:val="36"/>
        </w:rPr>
        <w:t xml:space="preserve">فإذا اختصَمْتَ فلا تبقَ على حالِك تلك حتى تشتعِلَ النار؛ غيِّرِ المكانَ كما أرشدَ النبيُّ ﷺ:</w:t>
      </w:r>
    </w:p>
    <w:p>
      <w:pPr>
        <w:pBdr>
          <w:right w:val="single" w:sz="12" w:space="10" w:color="8A6A1F"/>
        </w:pBdr>
        <w:spacing w:before="120" w:after="160" w:line="320" w:lineRule="auto"/>
        <w:ind w:left="504" w:right="504"/>
        <w:jc w:val="both"/>
      </w:pPr>
      <w:r>
        <w:rPr>
          <w:b/>
          <w:bCs/>
          <w:color w:val="1F5C3A"/>
          <w:sz w:val="36"/>
          <w:szCs w:val="36"/>
        </w:rPr>
        <w:t xml:space="preserve">«إذا غضِبَ أحدُكم وهو قائمٌ فليَجلِس، فإن ذهبَ عنه الغضبُ وإلا فليضطَجِعْ»</w:t>
      </w:r>
      <w:r>
        <w:rPr>
          <w:rStyle w:val="a5"/>
          <w:sz w:val="36"/>
          <w:szCs w:val="36"/>
        </w:rPr>
        <w:footnoteReference w:id="9"/>
      </w:r>
    </w:p>
    <w:p>
      <w:pPr>
        <w:spacing w:after="140" w:line="340" w:lineRule="auto"/>
        <w:jc w:val="both"/>
      </w:pPr>
      <w:r>
        <w:rPr>
          <w:color w:val="1A1A1A"/>
          <w:sz w:val="36"/>
          <w:szCs w:val="36"/>
        </w:rPr>
        <w:t xml:space="preserve">وقال يزيدُ بنُ أبي حَبيبٍ ﵀: غضَبي في نَعْلي؛ إن أغضبَني أحدٌ حملتُ نَعلي ومضَيت.</w:t>
      </w:r>
    </w:p>
    <w:p>
      <w:pPr>
        <w:spacing w:after="140" w:line="340" w:lineRule="auto"/>
        <w:jc w:val="both"/>
      </w:pPr>
      <w:r>
        <w:rPr>
          <w:color w:val="1A1A1A"/>
          <w:sz w:val="36"/>
          <w:szCs w:val="36"/>
        </w:rPr>
        <w:t xml:space="preserve">وليس ضَعفًا أن تُغادِرَ الغرفةَ حالَ احتدادِ النقاشِ في البيت؛ اخرُجْ دقائقَ تهدأُ الأمورُ ويرجِعُ إلى البيتِ سكونُه.</w:t>
      </w:r>
    </w:p>
    <w:p>
      <w:pPr>
        <w:spacing w:before="200" w:after="100"/>
      </w:pPr>
      <w:r>
        <w:rPr>
          <w:b/>
          <w:bCs/>
          <w:color w:val="1A1A1A"/>
          <w:sz w:val="36"/>
          <w:szCs w:val="36"/>
        </w:rPr>
        <w:t xml:space="preserve">٣) الإعراضُ عن الجاهلين</w:t>
      </w:r>
    </w:p>
    <w:p>
      <w:pPr>
        <w:spacing w:after="140" w:line="340" w:lineRule="auto"/>
        <w:jc w:val="both"/>
      </w:pPr>
      <w:r>
        <w:rPr>
          <w:color w:val="1A1A1A"/>
          <w:sz w:val="36"/>
          <w:szCs w:val="36"/>
        </w:rPr>
        <w:t xml:space="preserve">فإنّ من أعظمِ بواعثِ الغضبِ الجاهلَ الذي يجهَلُ عليك؛ فأَعرِضْ عنه كما أمرَك الله: </w:t>
      </w:r>
      <w:r>
        <w:rPr>
          <w:b/>
          <w:bCs/>
          <w:color w:val="8A6A1F"/>
          <w:sz w:val="36"/>
          <w:szCs w:val="36"/>
        </w:rPr>
        <w:t xml:space="preserve">﴿خُذِ الْعَفْوَ وَأْمُرْ بِالْعُرْفِ وَأَعْرِضْ عَنِ الْجَاهِلِينَ﴾</w:t>
      </w:r>
      <w:r>
        <w:rPr>
          <w:color w:val="1A1A1A"/>
          <w:sz w:val="36"/>
          <w:szCs w:val="36"/>
        </w:rPr>
        <w:t xml:space="preserve">.</w:t>
      </w:r>
    </w:p>
    <w:p>
      <w:pPr>
        <w:spacing w:after="140" w:line="340" w:lineRule="auto"/>
        <w:jc w:val="both"/>
      </w:pPr>
      <w:r>
        <w:rPr>
          <w:color w:val="1A1A1A"/>
          <w:sz w:val="36"/>
          <w:szCs w:val="36"/>
        </w:rPr>
        <w:t xml:space="preserve">وتأمَّلْ في حديثِ خادمِ رسولِ اللهِ ﷺ ـ والخادمُ مَظِنَّةُ الإشكالات ـ يقولُ أنسُ بنُ مالكٍ ﵁:</w:t>
      </w:r>
    </w:p>
    <w:p>
      <w:pPr>
        <w:pBdr>
          <w:right w:val="single" w:sz="12" w:space="10" w:color="8A6A1F"/>
        </w:pBdr>
        <w:spacing w:before="120" w:after="160" w:line="320" w:lineRule="auto"/>
        <w:ind w:left="504" w:right="504"/>
        <w:jc w:val="both"/>
      </w:pPr>
      <w:r>
        <w:rPr>
          <w:b/>
          <w:bCs/>
          <w:color w:val="1F5C3A"/>
          <w:sz w:val="36"/>
          <w:szCs w:val="36"/>
        </w:rPr>
        <w:t xml:space="preserve">«خدَمتُ النبيَّ ﷺ عشرَ سنين، فما قال لي: أُفٍّ قطّ، ولا قال لشيءٍ فعلتُه: لِمَ فعلتَه؟ ولا لشيءٍ لم أفعَلْه: ألا فعلتَ كذا؟»</w:t>
      </w:r>
      <w:r>
        <w:rPr>
          <w:rStyle w:val="a5"/>
          <w:sz w:val="36"/>
          <w:szCs w:val="36"/>
        </w:rPr>
        <w:footnoteReference w:id="10"/>
      </w:r>
    </w:p>
    <w:p>
      <w:pPr>
        <w:spacing w:after="140" w:line="340" w:lineRule="auto"/>
        <w:jc w:val="both"/>
      </w:pPr>
      <w:r>
        <w:rPr>
          <w:color w:val="1A1A1A"/>
          <w:sz w:val="36"/>
          <w:szCs w:val="36"/>
        </w:rPr>
        <w:t xml:space="preserve">أمّا أنت فتفتحُ تحقيقًا لا يُغلَقُ عند كلِّ خطأ، ثم تقول: لا أعيشُ في استقرار!</w:t>
      </w:r>
    </w:p>
    <w:p>
      <w:pPr>
        <w:spacing w:after="140" w:line="340" w:lineRule="auto"/>
        <w:jc w:val="both"/>
      </w:pPr>
      <w:r>
        <w:rPr>
          <w:color w:val="1A1A1A"/>
          <w:sz w:val="36"/>
          <w:szCs w:val="36"/>
        </w:rPr>
        <w:t xml:space="preserve">وهذا عمرُ ﵁ جاءه رجلٌ فقال: واللهِ ما تُعطينا الجَزْلَ ولا تحكُمُ بالعدل! فغضِبَ عمرُ حتى هَمَّ به، فقال له الحُرُّ بنُ قيسٍ: يا أميرَ المؤمنين، إنّ اللهَ قال لنبيِّه ﷺ: </w:t>
      </w:r>
      <w:r>
        <w:rPr>
          <w:b/>
          <w:bCs/>
          <w:color w:val="8A6A1F"/>
          <w:sz w:val="36"/>
          <w:szCs w:val="36"/>
        </w:rPr>
        <w:t xml:space="preserve">﴿وَأَعْرِضْ عَنِ الْجَاهِلِينَ﴾</w:t>
      </w:r>
      <w:r>
        <w:rPr>
          <w:color w:val="1A1A1A"/>
          <w:sz w:val="36"/>
          <w:szCs w:val="36"/>
        </w:rPr>
        <w:t xml:space="preserve">، وإنّ هذا من الجاهلين. قال: فواللهِ ما جاوزَها عمرُ حين تلاها عليه، وكان وقّافًا عند كتابِ الله.</w:t>
      </w:r>
      <w:r>
        <w:rPr>
          <w:rStyle w:val="a5"/>
          <w:sz w:val="36"/>
          <w:szCs w:val="36"/>
        </w:rPr>
        <w:footnoteReference w:id="11"/>
      </w:r>
    </w:p>
    <w:p>
      <w:pPr>
        <w:spacing w:after="140" w:line="340" w:lineRule="auto"/>
        <w:jc w:val="both"/>
      </w:pPr>
      <w:r>
        <w:rPr>
          <w:color w:val="1A1A1A"/>
          <w:sz w:val="36"/>
          <w:szCs w:val="36"/>
        </w:rPr>
        <w:t xml:space="preserve">وهذا عليُّ بنُ الحُسَينِ ﵀ سكَبَتْ عليه جاريةٌ ماءً فسقطَ الإناءُ من يدِها فشجَّ وجهَه، فرفعَ رأسَه إليها؛ فقالت: </w:t>
      </w:r>
      <w:r>
        <w:rPr>
          <w:b/>
          <w:bCs/>
          <w:color w:val="8A6A1F"/>
          <w:sz w:val="36"/>
          <w:szCs w:val="36"/>
        </w:rPr>
        <w:t xml:space="preserve">﴿وَالْكَاظِمِينَ الْغَيْظَ﴾</w:t>
      </w:r>
      <w:r>
        <w:rPr>
          <w:color w:val="1A1A1A"/>
          <w:sz w:val="36"/>
          <w:szCs w:val="36"/>
        </w:rPr>
        <w:t xml:space="preserve">. فقال: كظَمْتُ غيظي. قالت: </w:t>
      </w:r>
      <w:r>
        <w:rPr>
          <w:b/>
          <w:bCs/>
          <w:color w:val="8A6A1F"/>
          <w:sz w:val="36"/>
          <w:szCs w:val="36"/>
        </w:rPr>
        <w:t xml:space="preserve">﴿وَالْعَافِينَ عَنِ النَّاسِ﴾</w:t>
      </w:r>
      <w:r>
        <w:rPr>
          <w:color w:val="1A1A1A"/>
          <w:sz w:val="36"/>
          <w:szCs w:val="36"/>
        </w:rPr>
        <w:t xml:space="preserve">. قال: عفَوتُ عنكِ. قالت: </w:t>
      </w:r>
      <w:r>
        <w:rPr>
          <w:b/>
          <w:bCs/>
          <w:color w:val="8A6A1F"/>
          <w:sz w:val="36"/>
          <w:szCs w:val="36"/>
        </w:rPr>
        <w:t xml:space="preserve">﴿وَاللَّهُ يُحِبُّ الْمُحْسِنِينَ﴾</w:t>
      </w:r>
      <w:r>
        <w:rPr>
          <w:color w:val="1A1A1A"/>
          <w:sz w:val="36"/>
          <w:szCs w:val="36"/>
        </w:rPr>
        <w:t xml:space="preserve">. قال: اذهبي فأنتِ حُرَّةٌ لوجهِ الله.</w:t>
      </w:r>
      <w:r>
        <w:rPr>
          <w:rStyle w:val="a5"/>
          <w:sz w:val="36"/>
          <w:szCs w:val="36"/>
        </w:rPr>
        <w:footnoteReference w:id="12"/>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هكذا كان أسلافُنا؛ فإن تنكَّبْنا طريقَهم صِرْنا إلى ما صِرْنا إليه. نسألُ اللهَ العليَّ الأعلى أن يُجمِّلَنا بتلك الأخلاق، وأن يُعيذَنا من الغضبِ المذموم، وأن يجعلَنا ممَّن حسُنَ خَلقُه وخُلُقُه؛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عمر وأنسٍ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 و«الصُّرَعة» في الأصل: الذي يَصرَعُ الناسَ كثيرًا.</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الحسن البصريِّ ﵀ في كتبِ الرقائق.</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وابنُ ماجه والحاكمُ من حديث عائشة ﵂، وحسَّنه بعضُ أهلِ العلم. و«الإغلاق» فسَّرَه جمعٌ من العلماءِ بالإكراه، وفسَّرَه ابنُ القيمِ وغيرُه بما يشمَلُ شدَّةَ الغضبِ التي يُغلَقُ معها على الرجلِ قصدُه.</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سُلَيمانَ بنِ صُرَدٍ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أبي ذرٍّ ﵁، وصححه الألباني.</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عليِّ بنِ الحُسَينِ زينِ العابدين ﵀؛ ذكرَها أبو نُعيمٍ في «الحلية» والذهبيُّ في «السير».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