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bidi/>
        <w:spacing w:after="60" w:before="200" w:line="360"/>
        <w:jc w:val="right"/>
      </w:pPr>
      <w:r>
        <w:rPr>
          <w:rFonts w:ascii="Traditional Arabic" w:cs="Traditional Arabic" w:eastAsia="Traditional Arabic" w:hAnsi="Traditional Arabic"/>
          <w:b w:val="false"/>
          <w:bCs w:val="false"/>
          <w:i w:val="false"/>
          <w:iCs w:val="false"/>
          <w:color w:val="8A6F4E"/>
          <w:sz w:val="24"/>
          <w:szCs w:val="24"/>
          <w:rtl/>
        </w:rPr>
        <w:t xml:space="preserve">الخطبة </w:t>
      </w:r>
    </w:p>
    <w:p>
      <w:pPr>
        <w:pBdr>
          <w:bottom w:val="single" w:color="5B3A29" w:sz="12" w:space="8"/>
        </w:pBdr>
        <w:bidi/>
        <w:spacing w:after="60" w:line="380"/>
        <w:jc w:val="right"/>
      </w:pPr>
      <w:r>
        <w:rPr>
          <w:rFonts w:ascii="Traditional Arabic" w:cs="Traditional Arabic" w:eastAsia="Traditional Arabic" w:hAnsi="Traditional Arabic"/>
          <w:b/>
          <w:bCs/>
          <w:i w:val="false"/>
          <w:iCs w:val="false"/>
          <w:color w:val="5B3A29"/>
          <w:sz w:val="40"/>
          <w:szCs w:val="40"/>
          <w:rtl/>
        </w:rPr>
        <w:t xml:space="preserve">﴿لَئِن شَكَرْتُمْ لَأَزِيدَنَّكُمْ﴾</w:t>
      </w:r>
    </w:p>
    <w:p>
      <w:pPr>
        <w:bidi/>
        <w:spacing w:after="240" w:line="340"/>
        <w:jc w:val="right"/>
      </w:pPr>
      <w:r>
        <w:rPr>
          <w:rFonts w:ascii="Traditional Arabic" w:cs="Traditional Arabic" w:eastAsia="Traditional Arabic" w:hAnsi="Traditional Arabic"/>
          <w:b w:val="false"/>
          <w:bCs w:val="false"/>
          <w:i w:val="false"/>
          <w:iCs w:val="false"/>
          <w:color w:val="6B6B6B"/>
          <w:sz w:val="24"/>
          <w:szCs w:val="24"/>
          <w:rtl/>
        </w:rPr>
        <w:t xml:space="preserve">هل نحن مُنعَمون حتى نشكر؟ — نِعَمٌ نحن عنها غافلون</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إنّ الحمدَ لله، نحمدُه ونستعينُه ونستغفرُه، ونعوذُ بالله من شرورِ أنفسِنا ومن سيّئاتِ أعمالِنا؛ مَن يهدِه اللهُ فلا مُضِلَّ له، ومَن يُضلِلْ فلا هاديَ له. وأشهدُ أن لا إلهَ إلا اللهُ وحدَه لا شريكَ له، وأشهدُ أنّ محمدًا عبدُه ورسولُه ﷺ. ﴿يَا أَيُّهَا الَّذِينَ آمَنُوا اتَّقُوا اللَّهَ حَقَّ تُقَاتِهِ وَلَا تَمُوتُنَّ إِلَّا وَأَنتُم مُّسْلِمُونَ﴾. أمّا بعدُ، فإنّ أصدقَ الحديثِ كتابُ الله، وخيرَ الهَدْيِ هديُ محمدٍ ﷺ، وشرَّ الأمورِ محدثاتُها، وكلَّ محدثةٍ بدعة، وكلَّ بدعةٍ ضلالة، وكلَّ ضلالةٍ في النار.</w:t>
      </w:r>
    </w:p>
    <w:p>
      <w:pPr>
        <w:pBdr>
          <w:bottom w:val="single" w:color="C0A47E" w:sz="6" w:space="4"/>
        </w:pBdr>
        <w:bidi/>
        <w:spacing w:after="130" w:before="280" w:line="360"/>
        <w:jc w:val="right"/>
      </w:pPr>
      <w:r>
        <w:rPr>
          <w:rFonts w:ascii="Traditional Arabic" w:cs="Traditional Arabic" w:eastAsia="Traditional Arabic" w:hAnsi="Traditional Arabic"/>
          <w:b/>
          <w:bCs/>
          <w:i w:val="false"/>
          <w:iCs w:val="false"/>
          <w:color w:val="5B3A29"/>
          <w:sz w:val="32"/>
          <w:szCs w:val="32"/>
          <w:rtl/>
        </w:rPr>
        <w:t xml:space="preserve">الخطبة الأولى</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وبعدُ، أحبتي في الله: إلى أولئك الذين لا يرَون إلا الظلام فامتلأت قلوبُهم حزنًا وتشاؤمًا؛ إلى الغريبِ والطريدِ والفقيرِ والمسكين، إلى المريضِ والمحزونِ والمكلوم: </w:t>
      </w:r>
      <w:r>
        <w:rPr>
          <w:rFonts w:ascii="Traditional Arabic" w:cs="Traditional Arabic" w:eastAsia="Traditional Arabic" w:hAnsi="Traditional Arabic"/>
          <w:b/>
          <w:bCs/>
          <w:i w:val="false"/>
          <w:iCs w:val="false"/>
          <w:sz w:val="28"/>
          <w:szCs w:val="28"/>
          <w:rtl/>
        </w:rPr>
        <w:t xml:space="preserve">رسالةٌ أُسلِّطُ فيها الضوءَ على الزوايا المخفيّة في حياتك</w:t>
      </w:r>
      <w:r>
        <w:rPr>
          <w:rFonts w:ascii="Traditional Arabic" w:cs="Traditional Arabic" w:eastAsia="Traditional Arabic" w:hAnsi="Traditional Arabic"/>
          <w:b w:val="false"/>
          <w:bCs w:val="false"/>
          <w:i w:val="false"/>
          <w:iCs w:val="false"/>
          <w:sz w:val="28"/>
          <w:szCs w:val="28"/>
          <w:rtl/>
        </w:rPr>
        <w:t xml:space="preserve"> — تلك الجوانبِ التي سيطر الحزنُ على قلبك لأنك لا تراها. </w:t>
      </w:r>
      <w:r>
        <w:rPr>
          <w:rFonts w:ascii="Traditional Arabic" w:cs="Traditional Arabic" w:eastAsia="Traditional Arabic" w:hAnsi="Traditional Arabic"/>
          <w:b/>
          <w:bCs/>
          <w:i w:val="false"/>
          <w:iCs w:val="false"/>
          <w:sz w:val="28"/>
          <w:szCs w:val="28"/>
          <w:rtl/>
        </w:rPr>
        <w:t xml:space="preserve">إنّك مُنعَمٌ ولكنّك لا تشكر، ولا تدري.</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فتقولُ: أيُّ نِعَمٍ هذه أيها الخطيب، ونحن نرزحُ تحت الفقرِ والظلمِ والأمراضِ والجوعِ والاحتلال؟ فأقول: </w:t>
      </w:r>
      <w:r>
        <w:rPr>
          <w:rFonts w:ascii="Traditional Arabic" w:cs="Traditional Arabic" w:eastAsia="Traditional Arabic" w:hAnsi="Traditional Arabic"/>
          <w:b/>
          <w:bCs/>
          <w:i w:val="false"/>
          <w:iCs w:val="false"/>
          <w:sz w:val="28"/>
          <w:szCs w:val="28"/>
          <w:rtl/>
        </w:rPr>
        <w:t xml:space="preserve">إنّنا مُنعَمون، ولكنّنا لا نُسلِّط الضوءَ على تلك النِّعَم</w:t>
      </w:r>
      <w:r>
        <w:rPr>
          <w:rFonts w:ascii="Traditional Arabic" w:cs="Traditional Arabic" w:eastAsia="Traditional Arabic" w:hAnsi="Traditional Arabic"/>
          <w:b w:val="false"/>
          <w:bCs w:val="false"/>
          <w:i w:val="false"/>
          <w:iCs w:val="false"/>
          <w:sz w:val="28"/>
          <w:szCs w:val="28"/>
          <w:rtl/>
        </w:rPr>
        <w:t xml:space="preserve">. فتعالَوا نُسلِّطه عليها.</w:t>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النعمة الأولى: التوحيدُ وصفاءُ العقيدة</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أيها الموحِّد، يا مَن سلِم لك توحيدُك وصفَت لك عقيدتُك، فأفردتَ اللهَ بالعبادة، ما تعلَّق قلبُك بحجرٍ ولا شجر، وما عبدتَ في حياتك إلا الله: </w:t>
      </w:r>
      <w:r>
        <w:rPr>
          <w:rFonts w:ascii="Traditional Arabic" w:cs="Traditional Arabic" w:eastAsia="Traditional Arabic" w:hAnsi="Traditional Arabic"/>
          <w:b/>
          <w:bCs/>
          <w:i w:val="false"/>
          <w:iCs w:val="false"/>
          <w:sz w:val="28"/>
          <w:szCs w:val="28"/>
          <w:rtl/>
        </w:rPr>
        <w:t xml:space="preserve">إنّها نعمةٌ لا تُدانيها نعمةٌ أبدًا</w:t>
      </w:r>
      <w:r>
        <w:rPr>
          <w:rFonts w:ascii="Traditional Arabic" w:cs="Traditional Arabic" w:eastAsia="Traditional Arabic" w:hAnsi="Traditional Arabic"/>
          <w:b w:val="false"/>
          <w:bCs w:val="false"/>
          <w:i w:val="false"/>
          <w:iCs w:val="false"/>
          <w:sz w:val="28"/>
          <w:szCs w:val="28"/>
          <w:rtl/>
        </w:rPr>
        <w:t xml:space="preserve">. أتدري ما معنى أنّك موحِّد؟ معناه أنّك الناجي يومَ القيامة حين يتساقطُ المشركون في النار.</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يقول ربُّك: </w:t>
      </w:r>
      <w:r>
        <w:rPr>
          <w:rFonts w:ascii="Traditional Arabic" w:cs="Traditional Arabic" w:eastAsia="Traditional Arabic" w:hAnsi="Traditional Arabic"/>
          <w:b/>
          <w:bCs/>
          <w:i w:val="false"/>
          <w:iCs w:val="false"/>
          <w:sz w:val="28"/>
          <w:szCs w:val="28"/>
          <w:rtl/>
        </w:rPr>
        <w:t xml:space="preserve">﴿إِنَّ اللَّهَ لَا يَغْفِرُ أَن يُشْرَكَ بِهِ وَيَغْفِرُ مَا دُونَ ذَٰلِكَ لِمَن يَشَاءُ﴾</w:t>
      </w:r>
      <w:r>
        <w:rPr>
          <w:rFonts w:ascii="Traditional Arabic" w:cs="Traditional Arabic" w:eastAsia="Traditional Arabic" w:hAnsi="Traditional Arabic"/>
          <w:b w:val="false"/>
          <w:bCs w:val="false"/>
          <w:i w:val="false"/>
          <w:iCs w:val="false"/>
          <w:sz w:val="28"/>
          <w:szCs w:val="28"/>
          <w:rtl/>
        </w:rPr>
        <w:t xml:space="preserve">. فأنت — وإن أذنبتَ وأسرفتَ على نفسك — إن سلِم لك توحيدٌ صافٍ لا يعرف إلا الله، فلا وليَّ ولا قبرَ ولا مقامَ ولا ضريح، فأبشِرْ. ويومَ يتساقطُ المشركون سنستشعرُ جميعًا قولَه: ﴿رُّبَمَا يَوَدُّ الَّذِينَ كَفَرُوا لَوْ كَانُوا مُسْلِمِينَ﴾، وقولَه لأهل التوحيد: ﴿إِنَّ الَّذِينَ سَبَقَتْ لَهُم مِّنَّا الْحُسْنَىٰ أُولَٰئِكَ عَنْهَا مُبْعَدُونَ • لَا يَسْمَعُونَ حَسِيسَهَا﴾. </w:t>
      </w:r>
      <w:r>
        <w:rPr>
          <w:rFonts w:ascii="Traditional Arabic" w:cs="Traditional Arabic" w:eastAsia="Traditional Arabic" w:hAnsi="Traditional Arabic"/>
          <w:b/>
          <w:bCs/>
          <w:i w:val="false"/>
          <w:iCs w:val="false"/>
          <w:sz w:val="28"/>
          <w:szCs w:val="28"/>
          <w:rtl/>
        </w:rPr>
        <w:t xml:space="preserve">فلتذهبِ الدنيا كلُّها، وليسلَمْ لك توحيدُك.</w:t>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النعمة الثانية: السنّةُ واتّباعُ النبي ﷺ</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إنّ مَن يسمعُ بقلبه حديثَ عائشةَ ﵂ في «الصحيحين»: </w:t>
      </w:r>
      <w:r>
        <w:rPr>
          <w:rFonts w:ascii="Traditional Arabic" w:cs="Traditional Arabic" w:eastAsia="Traditional Arabic" w:hAnsi="Traditional Arabic"/>
          <w:b/>
          <w:bCs/>
          <w:i w:val="false"/>
          <w:iCs w:val="false"/>
          <w:sz w:val="28"/>
          <w:szCs w:val="28"/>
          <w:rtl/>
        </w:rPr>
        <w:t xml:space="preserve">«مَن عمِل عملًا ليس عليه أمرُنا فهو رَدّ»</w:t>
      </w:r>
      <w:r>
        <w:rPr>
          <w:rFonts w:ascii="Traditional Arabic" w:cs="Traditional Arabic" w:eastAsia="Traditional Arabic" w:hAnsi="Traditional Arabic"/>
          <w:b w:val="false"/>
          <w:bCs w:val="false"/>
          <w:i w:val="false"/>
          <w:iCs w:val="false"/>
          <w:sz w:val="28"/>
          <w:szCs w:val="28"/>
          <w:rtl/>
        </w:rPr>
        <w:t xml:space="preserve">، ثم يكون ممّن يسيرون على السنّة مُقتفين آثارَ محمدٍ ﷺ — فتُقبل أعمالُهم، ويَرِدون على نبيّهم ويشربون من حوضه — أيُّ نعمةٍ أعظمُ من هذه؟</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تخيَّلْ معي — أيها الحبيب — أنّك تُعطِّل صفاتِ ربّ العزّة، أو تقول: القرآنُ مخلوق، أو تتّهم عائشةَ ﵂، أو تكون عبادتُك طبلًا يُضرب ومزمارًا يُعزف، أو ترقص مختلطًا بالنساء بزعم المحبّة والعشق! </w:t>
      </w:r>
      <w:r>
        <w:rPr>
          <w:rFonts w:ascii="Traditional Arabic" w:cs="Traditional Arabic" w:eastAsia="Traditional Arabic" w:hAnsi="Traditional Arabic"/>
          <w:b/>
          <w:bCs/>
          <w:i w:val="false"/>
          <w:iCs w:val="false"/>
          <w:sz w:val="28"/>
          <w:szCs w:val="28"/>
          <w:rtl/>
        </w:rPr>
        <w:t xml:space="preserve">فأيُّ نعمةٍ أعظمُ من أن تُفارق الفِرقةَ كلَّها لتتمسّك بهَدْيِ النبي ﷺ؟</w:t>
      </w:r>
      <w:r>
        <w:rPr>
          <w:rFonts w:ascii="Traditional Arabic" w:cs="Traditional Arabic" w:eastAsia="Traditional Arabic" w:hAnsi="Traditional Arabic"/>
          <w:b w:val="false"/>
          <w:bCs w:val="false"/>
          <w:i w:val="false"/>
          <w:iCs w:val="false"/>
          <w:sz w:val="28"/>
          <w:szCs w:val="28"/>
          <w:rtl/>
        </w:rPr>
        <w:t xml:space="preserve"> وقد قال ﷺ: «افترقتِ اليهودُ على إحدى وسبعين فِرقة، وافترقتِ النصارى على اثنتين وسبعين، وستفترقُ أمّتي على ثلاثٍ وسبعين، كلُّها في النار إلا واحدة». قيل: مَن هي يا رسول الله؟ قال: «ما أنا عليه اليومَ وأصحابي»</w:t>
      </w:r>
      <w:r>
        <w:rPr>
          <w:rStyle w:val="FootnoteReference"/>
        </w:rPr>
        <w:footnoteReference w:id="3"/>
      </w:r>
      <w:r>
        <w:rPr>
          <w:rFonts w:ascii="Traditional Arabic" w:cs="Traditional Arabic" w:eastAsia="Traditional Arabic" w:hAnsi="Traditional Arabic"/>
          <w:b w:val="false"/>
          <w:bCs w:val="false"/>
          <w:i w:val="false"/>
          <w:iCs w:val="false"/>
          <w:sz w:val="28"/>
          <w:szCs w:val="28"/>
          <w:rtl/>
        </w:rPr>
        <w:t xml:space="preserve">. ولذلك كان الإمامُ أحمدُ إذا سمِع مَن يقول: الحمدُ لله على نعمةِ الإسلام، قال: </w:t>
      </w:r>
      <w:r>
        <w:rPr>
          <w:rFonts w:ascii="Traditional Arabic" w:cs="Traditional Arabic" w:eastAsia="Traditional Arabic" w:hAnsi="Traditional Arabic"/>
          <w:b/>
          <w:bCs/>
          <w:i w:val="false"/>
          <w:iCs w:val="false"/>
          <w:sz w:val="28"/>
          <w:szCs w:val="28"/>
          <w:rtl/>
        </w:rPr>
        <w:t xml:space="preserve">والسنّة.</w:t>
      </w:r>
    </w:p>
    <w:p>
      <w:pPr>
        <w:bidi/>
        <w:spacing w:after="180" w:line="365"/>
        <w:jc w:val="right"/>
      </w:pPr>
      <w:r>
        <w:rPr>
          <w:rFonts w:ascii="Traditional Arabic" w:cs="Traditional Arabic" w:eastAsia="Traditional Arabic" w:hAnsi="Traditional Arabic"/>
          <w:b w:val="false"/>
          <w:bCs w:val="false"/>
          <w:i w:val="false"/>
          <w:iCs w:val="false"/>
          <w:sz w:val="28"/>
          <w:szCs w:val="28"/>
          <w:rtl/>
        </w:rPr>
        <w:t xml:space="preserve">باركَ اللهُ لي ولكم بالقرآنِ العظيم، ونفعني وإيّاكم بما فيه من الآياتِ والذكرِ الحكيم. أقولُ ما سمعتم، وأستغفرُ اللهَ العليَّ العظيمَ لي ولكم من كلِّ ذنبٍ وخطيئة، فاستغفروه إنه هو الغفورُ الرحيم.</w:t>
      </w:r>
    </w:p>
    <w:p>
      <w:pPr>
        <w:pBdr>
          <w:bottom w:val="single" w:color="C0A47E" w:sz="6" w:space="4"/>
        </w:pBdr>
        <w:bidi/>
        <w:spacing w:after="130" w:before="280" w:line="360"/>
        <w:jc w:val="right"/>
      </w:pPr>
      <w:r>
        <w:rPr>
          <w:rFonts w:ascii="Traditional Arabic" w:cs="Traditional Arabic" w:eastAsia="Traditional Arabic" w:hAnsi="Traditional Arabic"/>
          <w:b/>
          <w:bCs/>
          <w:i w:val="false"/>
          <w:iCs w:val="false"/>
          <w:color w:val="5B3A29"/>
          <w:sz w:val="32"/>
          <w:szCs w:val="32"/>
          <w:rtl/>
        </w:rPr>
        <w:t xml:space="preserve">الخطبة الثانية</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الحمدُ لله وكفى، والصلاةُ والسلامُ على النبيِّ المصطفى، وعلى آلِه وصحبِه ومَن سار على دربِه وسنّتَه اقتفى.</w:t>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النعمة الثالثة: العافية</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أيها الفقراء المساكين، يا مَن تقطّعت بكم السُّبل: لقد عافاكم اللهُ في أسماعِكم وأبصارِكم وأبدانكم، وها أنتم تُصلُّون الجمعةَ وتذكرون ربَّكم! </w:t>
      </w:r>
      <w:r>
        <w:rPr>
          <w:rFonts w:ascii="Traditional Arabic" w:cs="Traditional Arabic" w:eastAsia="Traditional Arabic" w:hAnsi="Traditional Arabic"/>
          <w:b/>
          <w:bCs/>
          <w:i w:val="false"/>
          <w:iCs w:val="false"/>
          <w:sz w:val="28"/>
          <w:szCs w:val="28"/>
          <w:rtl/>
        </w:rPr>
        <w:t xml:space="preserve">ونعمةُ العافيةِ لا يعرف قدرَها إلا مَن فقدها</w:t>
      </w:r>
      <w:r>
        <w:rPr>
          <w:rFonts w:ascii="Traditional Arabic" w:cs="Traditional Arabic" w:eastAsia="Traditional Arabic" w:hAnsi="Traditional Arabic"/>
          <w:b w:val="false"/>
          <w:bCs w:val="false"/>
          <w:i w:val="false"/>
          <w:iCs w:val="false"/>
          <w:sz w:val="28"/>
          <w:szCs w:val="28"/>
          <w:rtl/>
        </w:rPr>
        <w:t xml:space="preserve">. ونحن نرى ونسمع ونمشي ونقضي حاجتَنا بأنفسنا، </w:t>
      </w:r>
      <w:r>
        <w:rPr>
          <w:rFonts w:ascii="Traditional Arabic" w:cs="Traditional Arabic" w:eastAsia="Traditional Arabic" w:hAnsi="Traditional Arabic"/>
          <w:b/>
          <w:bCs/>
          <w:i w:val="false"/>
          <w:iCs w:val="false"/>
          <w:sz w:val="28"/>
          <w:szCs w:val="28"/>
          <w:rtl/>
        </w:rPr>
        <w:t xml:space="preserve">ولكنّا لا نرى النعمةَ إلا في المال أو المنصب!</w:t>
      </w:r>
      <w:r>
        <w:rPr>
          <w:rFonts w:ascii="Traditional Arabic" w:cs="Traditional Arabic" w:eastAsia="Traditional Arabic" w:hAnsi="Traditional Arabic"/>
          <w:b w:val="false"/>
          <w:bCs w:val="false"/>
          <w:i w:val="false"/>
          <w:iCs w:val="false"/>
          <w:sz w:val="28"/>
          <w:szCs w:val="28"/>
          <w:rtl/>
        </w:rPr>
        <w:t xml:space="preserve"> يقول ﷺ: «مَن أصبح منكم آمنًا في سِرْبه، مُعافًى في بدنه، عنده قوتُ يومه — فكأنما حِيزت له الدنيا»</w:t>
      </w:r>
      <w:r>
        <w:rPr>
          <w:rStyle w:val="FootnoteReference"/>
        </w:rPr>
        <w:footnoteReference w:id="4"/>
      </w:r>
      <w:r>
        <w:rPr>
          <w:rFonts w:ascii="Traditional Arabic" w:cs="Traditional Arabic" w:eastAsia="Traditional Arabic" w:hAnsi="Traditional Arabic"/>
          <w:b w:val="false"/>
          <w:bCs w:val="false"/>
          <w:i w:val="false"/>
          <w:iCs w:val="false"/>
          <w:sz w:val="28"/>
          <w:szCs w:val="28"/>
          <w:rtl/>
        </w:rPr>
        <w:t xml:space="preserve">.</w:t>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صاحبُ الخيمة</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وقد رُوي في هذا خبرٌ عجيب: خرج رجلٌ مرابطًا إلى الساحل، فمرّ بخيمةٍ فسمِع صوتًا يقول: </w:t>
      </w:r>
      <w:r>
        <w:rPr>
          <w:rFonts w:ascii="Traditional Arabic" w:cs="Traditional Arabic" w:eastAsia="Traditional Arabic" w:hAnsi="Traditional Arabic"/>
          <w:b/>
          <w:bCs/>
          <w:i w:val="false"/>
          <w:iCs w:val="false"/>
          <w:sz w:val="28"/>
          <w:szCs w:val="28"/>
          <w:rtl/>
        </w:rPr>
        <w:t xml:space="preserve">اللهمّ أوزِعْني أن أحمدَك حمدًا أُكافئُ به شكرَ نعمتك التي أنعمتَ بها عليّ، وفضّلتني على كثيرٍ ممّن خلقتَ تفضيلًا</w:t>
      </w:r>
      <w:r>
        <w:rPr>
          <w:rFonts w:ascii="Traditional Arabic" w:cs="Traditional Arabic" w:eastAsia="Traditional Arabic" w:hAnsi="Traditional Arabic"/>
          <w:b w:val="false"/>
          <w:bCs w:val="false"/>
          <w:i w:val="false"/>
          <w:iCs w:val="false"/>
          <w:sz w:val="28"/>
          <w:szCs w:val="28"/>
          <w:rtl/>
        </w:rPr>
        <w:t xml:space="preserve">. فدخل الخيمةَ متتبّعًا الصوت، فإذا رجلٌ </w:t>
      </w:r>
      <w:r>
        <w:rPr>
          <w:rFonts w:ascii="Traditional Arabic" w:cs="Traditional Arabic" w:eastAsia="Traditional Arabic" w:hAnsi="Traditional Arabic"/>
          <w:b/>
          <w:bCs/>
          <w:i w:val="false"/>
          <w:iCs w:val="false"/>
          <w:sz w:val="28"/>
          <w:szCs w:val="28"/>
          <w:rtl/>
        </w:rPr>
        <w:t xml:space="preserve">مقطوعُ اليدين والرجلين، قد ذهب سمعُه وبصرُه!</w:t>
      </w:r>
      <w:r>
        <w:rPr>
          <w:rFonts w:ascii="Traditional Arabic" w:cs="Traditional Arabic" w:eastAsia="Traditional Arabic" w:hAnsi="Traditional Arabic"/>
          <w:b w:val="false"/>
          <w:bCs w:val="false"/>
          <w:i w:val="false"/>
          <w:iCs w:val="false"/>
          <w:sz w:val="28"/>
          <w:szCs w:val="28"/>
          <w:rtl/>
        </w:rPr>
        <w:t xml:space="preserve"> فقال: يا هذا، أيُّ نعمةٍ أنعم اللهُ بها عليك حتى تشكره عليها؟! فقال: </w:t>
      </w:r>
      <w:r>
        <w:rPr>
          <w:rFonts w:ascii="Traditional Arabic" w:cs="Traditional Arabic" w:eastAsia="Traditional Arabic" w:hAnsi="Traditional Arabic"/>
          <w:b/>
          <w:bCs/>
          <w:i w:val="false"/>
          <w:iCs w:val="false"/>
          <w:sz w:val="28"/>
          <w:szCs w:val="28"/>
          <w:rtl/>
        </w:rPr>
        <w:t xml:space="preserve">لو أرسل عليّ نارًا فأحرقتني، وأمر الجبالَ فدمّرتني، والبحارَ فأغرقتني — ما وفّيتُ شكرَ نعمةِ اللسانِ الذي أذكره به.</w:t>
      </w:r>
      <w:r>
        <w:rPr>
          <w:rStyle w:val="FootnoteReference"/>
        </w:rPr>
        <w:footnoteReference w:id="5"/>
      </w:r>
    </w:p>
    <w:p>
      <w:pPr>
        <w:pBdr>
          <w:top w:val="single" w:color="C0A47E" w:sz="6" w:space="8"/>
          <w:bottom w:val="single" w:color="C0A47E" w:sz="6" w:space="8"/>
          <w:left w:val="single" w:color="C0A47E" w:sz="6" w:space="8"/>
          <w:right w:val="single" w:color="C0A47E" w:sz="6" w:space="8"/>
        </w:pBdr>
        <w:shd w:fill="FBF8F3" w:val="clear"/>
        <w:bidi/>
        <w:spacing w:after="140" w:before="140" w:line="375"/>
        <w:ind w:left="288" w:right="288"/>
        <w:jc w:val="both"/>
      </w:pPr>
      <w:r>
        <w:rPr>
          <w:rFonts w:ascii="Traditional Arabic" w:cs="Traditional Arabic" w:eastAsia="Traditional Arabic" w:hAnsi="Traditional Arabic"/>
          <w:b/>
          <w:bCs/>
          <w:i w:val="false"/>
          <w:iCs w:val="false"/>
          <w:sz w:val="28"/>
          <w:szCs w:val="28"/>
          <w:rtl/>
        </w:rPr>
        <w:t xml:space="preserve">إنّ لله درجاتٍ لا تُنال إلا بالصبر عند البلاء، والشكرِ عند الرخاء، مع مراقبةٍ لله في السرِّ والعلن.</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فيا أهل التوحيد، لتلهَجْ ألسنتُنا بشكر الله؛ فإنّ </w:t>
      </w:r>
      <w:r>
        <w:rPr>
          <w:rFonts w:ascii="Traditional Arabic" w:cs="Traditional Arabic" w:eastAsia="Traditional Arabic" w:hAnsi="Traditional Arabic"/>
          <w:b/>
          <w:bCs/>
          <w:i w:val="false"/>
          <w:iCs w:val="false"/>
          <w:sz w:val="28"/>
          <w:szCs w:val="28"/>
          <w:rtl/>
        </w:rPr>
        <w:t xml:space="preserve">النِّعَم إن لم تُشكَر فرَّت، وإن شُكرت قرَّت</w:t>
      </w:r>
      <w:r>
        <w:rPr>
          <w:rFonts w:ascii="Traditional Arabic" w:cs="Traditional Arabic" w:eastAsia="Traditional Arabic" w:hAnsi="Traditional Arabic"/>
          <w:b w:val="false"/>
          <w:bCs w:val="false"/>
          <w:i w:val="false"/>
          <w:iCs w:val="false"/>
          <w:sz w:val="28"/>
          <w:szCs w:val="28"/>
          <w:rtl/>
        </w:rPr>
        <w:t xml:space="preserve">. ألم يقل ربُّك: ﴿لَئِن شَكَرْتُمْ لَأَزِيدَنَّكُمْ ۖ وَلَئِن كَفَرْتُمْ إِنَّ عَذَابِي لَشَدِيدٌ﴾؟ فكم نعمةٍ أنعم اللهُ بها عليك — نعمةِ ولدٍ أو مالٍ أو عافيةٍ أو دينٍ وتوحيدٍ واستقامة — فما حمدتَه عليها؟ </w:t>
      </w:r>
      <w:r>
        <w:rPr>
          <w:rFonts w:ascii="Traditional Arabic" w:cs="Traditional Arabic" w:eastAsia="Traditional Arabic" w:hAnsi="Traditional Arabic"/>
          <w:b/>
          <w:bCs/>
          <w:i w:val="false"/>
          <w:iCs w:val="false"/>
          <w:sz w:val="28"/>
          <w:szCs w:val="28"/>
          <w:rtl/>
        </w:rPr>
        <w:t xml:space="preserve">وترضى أن يُسلِّم اللهُ لك كلَّ ما تحبّ، ثم لا يسمعَ منك شكرًا بقلبٍ ولا لسانٍ ولا جارحة؟</w:t>
      </w:r>
      <w:r>
        <w:rPr>
          <w:rFonts w:ascii="Traditional Arabic" w:cs="Traditional Arabic" w:eastAsia="Traditional Arabic" w:hAnsi="Traditional Arabic"/>
          <w:b w:val="false"/>
          <w:bCs w:val="false"/>
          <w:i w:val="false"/>
          <w:iCs w:val="false"/>
          <w:sz w:val="28"/>
          <w:szCs w:val="28"/>
          <w:rtl/>
        </w:rPr>
        <w:t xml:space="preserve"> فإذا سُئلتَ: كيف حالك؟ قلتَ أقبحَ العبارات!</w:t>
      </w:r>
    </w:p>
    <w:p>
      <w:pPr>
        <w:bidi/>
        <w:spacing w:after="130" w:line="365"/>
        <w:jc w:val="both"/>
      </w:pPr>
      <w:r>
        <w:rPr>
          <w:rFonts w:ascii="Traditional Arabic" w:cs="Traditional Arabic" w:eastAsia="Traditional Arabic" w:hAnsi="Traditional Arabic"/>
          <w:b/>
          <w:bCs/>
          <w:i w:val="false"/>
          <w:iCs w:val="false"/>
          <w:sz w:val="28"/>
          <w:szCs w:val="28"/>
          <w:rtl/>
        </w:rPr>
        <w:t xml:space="preserve">جعلنا اللهُ وإيّاكم من عباده الحامدين الشاكرين الذاكرين. اللهمّ اغفر للمسلمين والمسلمات، الأحياءِ منهم والأموات. اللهمّ آمِنّا في أوطاننا، وأصلِح واهدِ ووفِّق وُلاةَ أمورنا، واجعل هذا البلدَ آمنًا مطمئنًّا وسائرَ بلادِ المسلمين. اللهمّ احفظ أهلَنا في غزّةَ وفي عمومِ فلسطين، وانصرهم بنصرك، وأيّدهم بتأييدك. ربَّنا آتِنا في الدنيا حسنةً وفي الآخرةِ حسنةً وقِنا عذابَ النار. وآخرُ دعوانا أنِ الحمدُ لله ربِّ العالمين، وصلّى اللهُ على نبيّنا محمدٍ وعلى آلِه وصحبِه أجمعين.</w:t>
      </w:r>
    </w:p>
    <w:sectPr>
      <w:headerReference w:type="default" r:id="rId7"/>
      <w:footerReference w:type="default" r:id="rId8"/>
      <w:pgSz w:w="11906" w:h="16838" w:orient="portrait"/>
      <w:pgMar w:top="1250" w:right="1350" w:bottom="1250" w:left="135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bidi/>
      <w:jc w:val="center"/>
    </w:pPr>
    <w:r>
      <w:rPr>
        <w:rFonts w:ascii="Traditional Arabic" w:cs="Traditional Arabic" w:eastAsia="Traditional Arabic" w:hAnsi="Traditional Arabic"/>
        <w:sz w:val="20"/>
        <w:szCs w:val="20"/>
        <w:rtl/>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 w:id="1">
    <w:p>
      <w:pPr>
        <w:bidi/>
        <w:jc w:val="right"/>
      </w:pP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أخبارُ يحيى بن يحيى الليثي (ت ٢٣٤هـ) في «ترتيب المدارك» للقاضي عياض، و«سير أعلام النبلاء» للذهبي. وقصّةُ الفيل مشهورةٌ في ترجمته، وهي من أخبار التراجم لا من المرفوع.</w:t>
      </w:r>
    </w:p>
  </w:footnote>
  <w:footnote w:id="2">
    <w:p>
      <w:pPr>
        <w:bidi/>
        <w:jc w:val="right"/>
      </w:pP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رواه ابن ماجه وأحمد والبيهقي من حديث أبي هريرة، وحسّنه الألباني في «صحيح الترغيب والترهيب» (١٠٨٣) وقال: حسن صحيح. وله شاهدٌ من حديث ابن عمر عند الطبراني، قال الألباني: صحيح لغيره.</w:t>
      </w:r>
    </w:p>
  </w:footnote>
  <w:footnote w:id="3">
    <w:p>
      <w:pPr>
        <w:bidi/>
        <w:jc w:val="right"/>
      </w:pPr>
      <w:r>
        <w:rPr>
          <w:rStyle w:val="FootnoteReference"/>
        </w:rPr>
        <w:footnoteRef/>
      </w:r>
      <w:r>
        <w:rPr>
          <w:rFonts w:ascii="Traditional Arabic" w:cs="Traditional Arabic" w:eastAsia="Traditional Arabic" w:hAnsi="Traditional Arabic"/>
          <w:sz w:val="20"/>
          <w:szCs w:val="20"/>
          <w:rtl/>
        </w:rPr>
        <w:t xml:space="preserve">رواه الترمذي (٢٦٤١) وأبو داود وابن ماجه من طرق. وحسّنه الألباني في «صحيح الجامع» (١٠٨٣) و«سلسلة الأحاديث الصحيحة» (٢٠٣، ١٤٩٢).</w:t>
      </w:r>
    </w:p>
  </w:footnote>
  <w:footnote w:id="4">
    <w:p>
      <w:pPr>
        <w:bidi/>
        <w:jc w:val="right"/>
      </w:pPr>
      <w:r>
        <w:rPr>
          <w:rStyle w:val="FootnoteReference"/>
        </w:rPr>
        <w:footnoteRef/>
      </w:r>
      <w:r>
        <w:rPr>
          <w:rFonts w:ascii="Traditional Arabic" w:cs="Traditional Arabic" w:eastAsia="Traditional Arabic" w:hAnsi="Traditional Arabic"/>
          <w:sz w:val="20"/>
          <w:szCs w:val="20"/>
          <w:rtl/>
        </w:rPr>
        <w:t xml:space="preserve">رواه الترمذي (٢٣٤٦) وابن ماجه (٤١٤١) من حديث عبيد الله بن مِحصَن ﵁، وحسّنه الألباني في «صحيح الجامع» (٦٠٤٢) و«السلسلة الصحيحة» (٢٣١٨).</w:t>
      </w:r>
    </w:p>
  </w:footnote>
  <w:footnote w:id="5">
    <w:p>
      <w:pPr>
        <w:bidi/>
        <w:jc w:val="right"/>
      </w:pPr>
      <w:r>
        <w:rPr>
          <w:rStyle w:val="FootnoteReference"/>
        </w:rPr>
        <w:footnoteRef/>
      </w:r>
      <w:r>
        <w:rPr>
          <w:rFonts w:ascii="Traditional Arabic" w:cs="Traditional Arabic" w:eastAsia="Traditional Arabic" w:hAnsi="Traditional Arabic"/>
          <w:sz w:val="20"/>
          <w:szCs w:val="20"/>
          <w:rtl/>
        </w:rPr>
        <w:t xml:space="preserve">خبرٌ مشهور يُروى في ترجمة أبي قِلابة الجَرْمي عند ابن حبان في «الثقات» وغيره، وفي إسناده ومتنه نظر، وليس من المرفوع. وإنما يُذكر للاعتبار والاتّعاظ لا للاحتجاج، والأصلُ في الباب الآياتُ والأحاديثُ المتقدّمة.</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B393" w:sz="4" w:space="4"/>
      </w:pBdr>
      <w:bidi/>
      <w:jc w:val="right"/>
    </w:pPr>
    <w:r>
      <w:rPr>
        <w:rFonts w:ascii="Traditional Arabic" w:cs="Traditional Arabic" w:eastAsia="Traditional Arabic" w:hAnsi="Traditional Arabic"/>
        <w:b w:val="false"/>
        <w:bCs w:val="false"/>
        <w:i w:val="false"/>
        <w:iCs w:val="false"/>
        <w:color w:val="8A7A66"/>
        <w:sz w:val="19"/>
        <w:szCs w:val="19"/>
        <w:rtl/>
      </w:rPr>
      <w:t xml:space="preserve">﴿لَئِن شَكَرْتُمْ لَأَزِيدَنَّكُمْ﴾ — خطبة الجمعة | د. عماد السواعير</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raditional Arabic" w:cs="Traditional Arabic" w:eastAsia="Traditional Arabic" w:hAnsi="Traditional Arabic"/>
        <w:sz w:val="28"/>
        <w:szCs w:val="28"/>
        <w:rtl/>
      </w:rPr>
    </w:rPrDefault>
    <w:pPrDefault>
      <w:pPr>
        <w:bidi/>
        <w:spacing w:after="130" w:line="365"/>
        <w:jc w:val="both"/>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2026-08-01T09:24:10.749Z</dcterms:created>
  <dcterms:modified xsi:type="dcterms:W3CDTF">2026-08-01T09:24:10.749Z</dcterms:modified>
</cp:coreProperties>
</file>

<file path=docProps/custom.xml><?xml version="1.0" encoding="utf-8"?>
<Properties xmlns="http://schemas.openxmlformats.org/officeDocument/2006/custom-properties" xmlns:vt="http://schemas.openxmlformats.org/officeDocument/2006/docPropsVTypes"/>
</file>