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﴿وَلَا تَيْأَسُوا مِن رَّوْحِ اللَّهِ﴾</w:t>
      </w:r>
    </w:p>
    <w:p>
      <w:pPr>
        <w:spacing w:after="120"/>
      </w:pPr>
      <w:r>
        <w:rPr>
          <w:color w:val="8A6A1F"/>
          <w:sz w:val="36"/>
          <w:szCs w:val="36"/>
        </w:rPr>
        <w:t xml:space="preserve">المواضعُ التي يتأكَّدُ فيها تركُ اليأس، وكيف تُربِّي قلبَك عليه</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تمهَّلْ يا ابنَ الأثير</w:t>
      </w:r>
    </w:p>
    <w:p>
      <w:pPr>
        <w:spacing w:after="140" w:line="340" w:lineRule="auto"/>
        <w:jc w:val="both"/>
      </w:pPr>
      <w:r>
        <w:rPr>
          <w:color w:val="1A1A1A"/>
          <w:sz w:val="36"/>
          <w:szCs w:val="36"/>
        </w:rPr>
        <w:t xml:space="preserve">وبعدُ، أحبَّتي في الله، معاشرَ المصلِّين: </w:t>
      </w:r>
      <w:r>
        <w:rPr>
          <w:b/>
          <w:bCs/>
          <w:color w:val="1F5C3A"/>
          <w:sz w:val="36"/>
          <w:szCs w:val="36"/>
        </w:rPr>
        <w:t xml:space="preserve">«ماذا أكتُب؟ أَأكتُبُ نَعْيَ الإسلامِ والمسلمين؟»</w:t>
      </w:r>
      <w:r>
        <w:rPr>
          <w:color w:val="1A1A1A"/>
          <w:sz w:val="36"/>
          <w:szCs w:val="36"/>
        </w:rPr>
        <w:t xml:space="preserve"> ـ كلماتٌ قالها ابنُ الأثيرِ ﵀ قبل أن يُسطِّرَ نازلةَ التتار.</w:t>
      </w:r>
      <w:r>
        <w:rPr>
          <w:rStyle w:val="a5"/>
          <w:sz w:val="36"/>
          <w:szCs w:val="36"/>
        </w:rPr>
        <w:footnoteReference w:id="1"/>
      </w:r>
    </w:p>
    <w:p>
      <w:pPr>
        <w:spacing w:after="140" w:line="340" w:lineRule="auto"/>
        <w:jc w:val="both"/>
      </w:pPr>
      <w:r>
        <w:rPr>
          <w:color w:val="1A1A1A"/>
          <w:sz w:val="36"/>
          <w:szCs w:val="36"/>
        </w:rPr>
        <w:t xml:space="preserve">تمهَّلْ يا ابنَ الأثير! ففي جَعبةِ هذه الأمَّةِ الكثير؛ فيها قُطُزُ والظاهرُ وابنُ تيميةَ والعِزُّ بنُ عبد السلام. **هذه الأمَّةُ تَمرَضُ ولكنّها لا تموت.**</w:t>
      </w:r>
    </w:p>
    <w:p>
      <w:pPr>
        <w:spacing w:after="140" w:line="340" w:lineRule="auto"/>
        <w:jc w:val="both"/>
      </w:pPr>
      <w:r>
        <w:rPr>
          <w:color w:val="1A1A1A"/>
          <w:sz w:val="36"/>
          <w:szCs w:val="36"/>
        </w:rPr>
        <w:t xml:space="preserve">فخطبتي اليومَ عن **اليأسِ من رَوحِ الله**؛ ولا بدَّ أن أُبيِّنَ ابتداءً أنّ اليأسَ المُطلَقَ من رَوحِ اللهِ ليس من صفةِ المؤمنين؛ قال تعالى على لسانِ يعقوبَ ﵇:</w:t>
      </w:r>
    </w:p>
    <w:p>
      <w:pPr>
        <w:pBdr>
          <w:right w:val="single" w:sz="12" w:space="10" w:color="8A6A1F"/>
        </w:pBdr>
        <w:spacing w:before="120" w:after="160" w:line="320" w:lineRule="auto"/>
        <w:ind w:left="504" w:right="504"/>
        <w:jc w:val="both"/>
      </w:pPr>
      <w:r>
        <w:rPr>
          <w:b/>
          <w:bCs/>
          <w:color w:val="8A6A1F"/>
          <w:sz w:val="36"/>
          <w:szCs w:val="36"/>
        </w:rPr>
        <w:t xml:space="preserve">﴿يَا بَنِيَّ اذْهَبُوا فَتَحَسَّسُوا مِن يُوسُفَ وَأَخِيهِ وَلَا تَيْأَسُوا مِن رَّوْحِ اللَّهِ ۖ إِنَّهُ لَا يَيْأَسُ مِن رَّوْحِ اللَّهِ إِلَّا الْقَوْمُ الْكَافِرُونَ﴾</w:t>
      </w:r>
    </w:p>
    <w:p>
      <w:pPr>
        <w:spacing w:after="140" w:line="340" w:lineRule="auto"/>
        <w:jc w:val="both"/>
      </w:pPr>
      <w:r>
        <w:rPr>
          <w:color w:val="1A1A1A"/>
          <w:sz w:val="36"/>
          <w:szCs w:val="36"/>
        </w:rPr>
        <w:t xml:space="preserve">فاحذَرْ أن تيأَس. وإليك المواضعُ التي يتأكَّدُ فيها ذلك.</w:t>
      </w:r>
    </w:p>
    <w:p>
      <w:pPr>
        <w:spacing w:before="260" w:after="120"/>
      </w:pPr>
      <w:r>
        <w:rPr>
          <w:b/>
          <w:bCs/>
          <w:color w:val="1F5C3A"/>
          <w:sz w:val="36"/>
          <w:szCs w:val="36"/>
        </w:rPr>
        <w:t xml:space="preserve">أولًا: في مقامِ الإصلاح</w:t>
      </w:r>
    </w:p>
    <w:p>
      <w:pPr>
        <w:spacing w:after="140" w:line="340" w:lineRule="auto"/>
        <w:jc w:val="both"/>
      </w:pPr>
      <w:r>
        <w:rPr>
          <w:color w:val="1A1A1A"/>
          <w:sz w:val="36"/>
          <w:szCs w:val="36"/>
        </w:rPr>
        <w:t xml:space="preserve">يا معاشرَ المُصلِحين من الآباءِ والأمهاتِ والدعاة: إيّاكم واليأس! فإنّ الداعيَ إذا تسلَّلَ اليأسُ إلى قلبِه ترَكَ منبرَه وكسَرَ قلمَه.</w:t>
      </w:r>
    </w:p>
    <w:p>
      <w:pPr>
        <w:spacing w:after="140" w:line="340" w:lineRule="auto"/>
        <w:jc w:val="both"/>
      </w:pPr>
      <w:r>
        <w:rPr>
          <w:color w:val="1A1A1A"/>
          <w:sz w:val="36"/>
          <w:szCs w:val="36"/>
        </w:rPr>
        <w:t xml:space="preserve">تأمَّلْ في قلبِ الأبِ الذي يَئِسَ من صلاحِ ولدِه فقال: لن يُفلِحَ أبدًا! وقد **ظلَّ نوحٌ ﵇ يدعو ولدَه حتى حالَ بينهما الموج**: </w:t>
      </w:r>
      <w:r>
        <w:rPr>
          <w:b/>
          <w:bCs/>
          <w:color w:val="8A6A1F"/>
          <w:sz w:val="36"/>
          <w:szCs w:val="36"/>
        </w:rPr>
        <w:t xml:space="preserve">﴿يَا بُنَيَّ ارْكَب مَّعَنَا وَلَا تَكُن مَّعَ الْكَافِرِينَ﴾</w:t>
      </w:r>
      <w:r>
        <w:rPr>
          <w:color w:val="1A1A1A"/>
          <w:sz w:val="36"/>
          <w:szCs w:val="36"/>
        </w:rPr>
        <w:t xml:space="preserve">. فما لي أراك ترَكتَ أمرَه بالصلاةِ عند أوَّلِ مُنعطَف؟</w:t>
      </w:r>
    </w:p>
    <w:p>
      <w:pPr>
        <w:spacing w:after="140" w:line="340" w:lineRule="auto"/>
        <w:jc w:val="both"/>
      </w:pPr>
      <w:r>
        <w:rPr>
          <w:color w:val="1A1A1A"/>
          <w:sz w:val="36"/>
          <w:szCs w:val="36"/>
        </w:rPr>
        <w:t xml:space="preserve">ويقولُ عمّارُ بنُ ياسرٍ ﵄ ـ كما في </w:t>
      </w:r>
      <w:r>
        <w:rPr>
          <w:b/>
          <w:bCs/>
          <w:color w:val="1F5C3A"/>
          <w:sz w:val="36"/>
          <w:szCs w:val="36"/>
        </w:rPr>
        <w:t xml:space="preserve">«صحيح البخاري»</w:t>
      </w:r>
      <w:r>
        <w:rPr>
          <w:color w:val="1A1A1A"/>
          <w:sz w:val="36"/>
          <w:szCs w:val="36"/>
        </w:rPr>
        <w:t xml:space="preserve">:</w:t>
      </w:r>
    </w:p>
    <w:p>
      <w:pPr>
        <w:pBdr>
          <w:right w:val="single" w:sz="12" w:space="10" w:color="8A6A1F"/>
        </w:pBdr>
        <w:spacing w:before="120" w:after="160" w:line="320" w:lineRule="auto"/>
        <w:ind w:left="504" w:right="504"/>
        <w:jc w:val="both"/>
      </w:pPr>
      <w:r>
        <w:rPr>
          <w:b/>
          <w:bCs/>
          <w:color w:val="1F5C3A"/>
          <w:sz w:val="36"/>
          <w:szCs w:val="36"/>
        </w:rPr>
        <w:t xml:space="preserve">«لقد رأيتُني مع رسولِ اللهِ ﷺ وما معه إلا خمسةُ أعبُدٍ وامرأتانِ وأبو بكر»</w:t>
      </w:r>
      <w:r>
        <w:rPr>
          <w:rStyle w:val="a5"/>
          <w:sz w:val="36"/>
          <w:szCs w:val="36"/>
        </w:rPr>
        <w:footnoteReference w:id="2"/>
      </w:r>
    </w:p>
    <w:p>
      <w:pPr>
        <w:spacing w:after="140" w:line="340" w:lineRule="auto"/>
        <w:jc w:val="both"/>
      </w:pPr>
      <w:r>
        <w:rPr>
          <w:color w:val="1A1A1A"/>
          <w:sz w:val="36"/>
          <w:szCs w:val="36"/>
        </w:rPr>
        <w:t xml:space="preserve">سبعةٌ أو ثمانية! ثم لم ييأَسْ ﷺ؛ حتى حَجَّ معه في حجَّةِ الوداعِ عَشَراتُ الألوف.</w:t>
      </w:r>
    </w:p>
    <w:p>
      <w:pPr>
        <w:spacing w:before="200" w:after="100"/>
      </w:pPr>
      <w:r>
        <w:rPr>
          <w:b/>
          <w:bCs/>
          <w:color w:val="1A1A1A"/>
          <w:sz w:val="36"/>
          <w:szCs w:val="36"/>
        </w:rPr>
        <w:t xml:space="preserve">نموذجانِ من التاريخ</w:t>
      </w:r>
    </w:p>
    <w:p>
      <w:pPr>
        <w:spacing w:after="140" w:line="340" w:lineRule="auto"/>
        <w:jc w:val="both"/>
      </w:pPr>
      <w:r>
        <w:rPr>
          <w:color w:val="1A1A1A"/>
          <w:sz w:val="36"/>
          <w:szCs w:val="36"/>
        </w:rPr>
        <w:t xml:space="preserve">يُروى أنّ **المُزَنيَّ ﵀** ـ صاحبَ </w:t>
      </w:r>
      <w:r>
        <w:rPr>
          <w:b/>
          <w:bCs/>
          <w:color w:val="1F5C3A"/>
          <w:sz w:val="36"/>
          <w:szCs w:val="36"/>
        </w:rPr>
        <w:t xml:space="preserve">«المختصر»</w:t>
      </w:r>
      <w:r>
        <w:rPr>
          <w:color w:val="1A1A1A"/>
          <w:sz w:val="36"/>
          <w:szCs w:val="36"/>
        </w:rPr>
        <w:t xml:space="preserve"> ـ قال لابنِ أختِه **أبي جعفرٍ الطَّحاويِّ**: واللهِ لا يجيءُ منك شيء! فكبُرَتْ في قلبِ الطحاويِّ فاجتهدَ حتى صارَ إمامَ الحنفيةِ في زمانِه؛ وكان يقول: **رحِمَ اللهُ خالي؛ لو عاشَ لكفَّرَ عن يمينِه.**</w:t>
      </w:r>
      <w:r>
        <w:rPr>
          <w:rStyle w:val="a5"/>
          <w:sz w:val="36"/>
          <w:szCs w:val="36"/>
        </w:rPr>
        <w:footnoteReference w:id="3"/>
      </w:r>
    </w:p>
    <w:p>
      <w:pPr>
        <w:spacing w:after="140" w:line="340" w:lineRule="auto"/>
        <w:jc w:val="both"/>
      </w:pPr>
      <w:r>
        <w:rPr>
          <w:color w:val="1A1A1A"/>
          <w:sz w:val="36"/>
          <w:szCs w:val="36"/>
        </w:rPr>
        <w:t xml:space="preserve">ويُروى أنّ **سِيبَوَيهِ ﵀** لحَنَ وهو يستَملي حديثًا عند حمّادِ بنِ سلمة، فقيل له: لحَنتَ يا سيبويه! فقال: **لَأطلُبَنَّ عِلمًا لا تُلحِّنُني فيه أبدًا**؛ فلزِمَ الخليلَ بنَ أحمدَ حتى صارَ إمامَ النحاةِ إلى اليوم.</w:t>
      </w:r>
      <w:r>
        <w:rPr>
          <w:rStyle w:val="a5"/>
          <w:sz w:val="36"/>
          <w:szCs w:val="36"/>
        </w:rPr>
        <w:footnoteReference w:id="4"/>
      </w:r>
    </w:p>
    <w:p>
      <w:pPr>
        <w:spacing w:after="140" w:line="340" w:lineRule="auto"/>
        <w:jc w:val="both"/>
      </w:pPr>
      <w:r>
        <w:rPr>
          <w:color w:val="1A1A1A"/>
          <w:sz w:val="36"/>
          <w:szCs w:val="36"/>
        </w:rPr>
        <w:t xml:space="preserve">فهكذا ينبغي أن نكون؛ أمّا اليأسُ فلن نتقدَّمَ معه خطوةً واحدة.</w:t>
      </w:r>
    </w:p>
    <w:p>
      <w:pPr>
        <w:spacing w:before="260" w:after="120"/>
      </w:pPr>
      <w:r>
        <w:rPr>
          <w:b/>
          <w:bCs/>
          <w:color w:val="1F5C3A"/>
          <w:sz w:val="36"/>
          <w:szCs w:val="36"/>
        </w:rPr>
        <w:t xml:space="preserve">ثانيًا: في مقامِ الشدَّةِ ومُقابَلةِ الأعداء</w:t>
      </w:r>
    </w:p>
    <w:p>
      <w:pPr>
        <w:spacing w:after="140" w:line="340" w:lineRule="auto"/>
        <w:jc w:val="both"/>
      </w:pPr>
      <w:r>
        <w:rPr>
          <w:color w:val="1A1A1A"/>
          <w:sz w:val="36"/>
          <w:szCs w:val="36"/>
        </w:rPr>
        <w:t xml:space="preserve">فإنّ أعظمَ آفةٍ تُصيبُ الأمَّةَ في هذا المقامِ أن تيأَسَ من الفرَج. ونحن إنما نُواجِهُ بتوحيدِنا وصِدقِنا واتِّباعِنا **مع أخذِنا بالأسباب**؛ فقد قال تعالى: </w:t>
      </w:r>
      <w:r>
        <w:rPr>
          <w:b/>
          <w:bCs/>
          <w:color w:val="8A6A1F"/>
          <w:sz w:val="36"/>
          <w:szCs w:val="36"/>
        </w:rPr>
        <w:t xml:space="preserve">﴿إِن تَنصُرُوا اللَّهَ يَنصُرْكُمْ وَيُثَبِّتْ أَقْدَامَكُمْ﴾</w:t>
      </w:r>
      <w:r>
        <w:rPr>
          <w:color w:val="1A1A1A"/>
          <w:sz w:val="36"/>
          <w:szCs w:val="36"/>
        </w:rPr>
        <w:t xml:space="preserve">.</w:t>
      </w:r>
    </w:p>
    <w:p>
      <w:pPr>
        <w:spacing w:after="140" w:line="340" w:lineRule="auto"/>
        <w:jc w:val="both"/>
      </w:pPr>
      <w:r>
        <w:rPr>
          <w:color w:val="1A1A1A"/>
          <w:sz w:val="36"/>
          <w:szCs w:val="36"/>
        </w:rPr>
        <w:t xml:space="preserve">وقد جاء التتارُ فأكلوا الأخضرَ واليابس، ولو يَئِسَ المسلمون لَما كانت **عينُ جالوت**. وفي **شَقْحَب** ثبَّتَ اللهُ شيخَ الإسلامِ ابنَ تيميةَ ﵀ فجهَّزَ وعبَّأَ وحرَّض، وقال: **إنّا مَنصورون عليهم**. فقيل: قُلْ إن شاء الله. فقال: **</w:t>
      </w:r>
      <w:r>
        <w:rPr>
          <w:b/>
          <w:bCs/>
          <w:color w:val="1F5C3A"/>
          <w:sz w:val="36"/>
          <w:szCs w:val="36"/>
        </w:rPr>
        <w:t xml:space="preserve">«إن شاء اللهُ تحقيقًا لا تعليقًا»</w:t>
      </w:r>
      <w:r>
        <w:rPr>
          <w:color w:val="1A1A1A"/>
          <w:sz w:val="36"/>
          <w:szCs w:val="36"/>
        </w:rPr>
        <w:t xml:space="preserve">** ـ ثقةً بوعدِ اللهِ لا تألِّيًا عليه.</w:t>
      </w:r>
      <w:r>
        <w:rPr>
          <w:rStyle w:val="a5"/>
          <w:sz w:val="36"/>
          <w:szCs w:val="36"/>
        </w:rPr>
        <w:footnoteReference w:id="5"/>
      </w:r>
    </w:p>
    <w:p>
      <w:pPr>
        <w:spacing w:after="140" w:line="340" w:lineRule="auto"/>
        <w:jc w:val="both"/>
      </w:pPr>
      <w:r>
        <w:rPr>
          <w:color w:val="1A1A1A"/>
          <w:sz w:val="36"/>
          <w:szCs w:val="36"/>
        </w:rPr>
        <w:t xml:space="preserve">فالمؤمنُ بوعدِ اللهِ لا يشُكُّ في قولِه: </w:t>
      </w:r>
      <w:r>
        <w:rPr>
          <w:b/>
          <w:bCs/>
          <w:color w:val="8A6A1F"/>
          <w:sz w:val="36"/>
          <w:szCs w:val="36"/>
        </w:rPr>
        <w:t xml:space="preserve">﴿وَلَقَدْ كَتَبْنَا فِي الزَّبُورِ مِن بَعْدِ الذِّكْرِ أَنَّ الْأَرْضَ يَرِثُهَا عِبَادِيَ الصَّالِحُونَ﴾</w:t>
      </w:r>
      <w:r>
        <w:rPr>
          <w:color w:val="1A1A1A"/>
          <w:sz w:val="36"/>
          <w:szCs w:val="36"/>
        </w:rPr>
        <w:t xml:space="preserve">.</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w:t>
      </w:r>
    </w:p>
    <w:p>
      <w:pPr>
        <w:spacing w:before="260" w:after="120"/>
      </w:pPr>
      <w:r>
        <w:rPr>
          <w:b/>
          <w:bCs/>
          <w:color w:val="1F5C3A"/>
          <w:sz w:val="36"/>
          <w:szCs w:val="36"/>
        </w:rPr>
        <w:t xml:space="preserve">ثالثًا: في مقامِ البلاء</w:t>
      </w:r>
    </w:p>
    <w:p>
      <w:pPr>
        <w:spacing w:after="140" w:line="340" w:lineRule="auto"/>
        <w:jc w:val="both"/>
      </w:pPr>
      <w:r>
        <w:rPr>
          <w:color w:val="1A1A1A"/>
          <w:sz w:val="36"/>
          <w:szCs w:val="36"/>
        </w:rPr>
        <w:t xml:space="preserve">فالمؤمنُ مُبتلًى لا محالة؛ فينبغي أن يمتلئَ قلبُك أملًا. وقد قال يعقوبُ ﵇ الآيةَ التي ندورُ في فلكِها بعد أن فقَدَ الثالث؛ لا بعد الأوَّلِ ولا الثاني!</w:t>
      </w:r>
    </w:p>
    <w:p>
      <w:pPr>
        <w:spacing w:after="140" w:line="340" w:lineRule="auto"/>
        <w:jc w:val="both"/>
      </w:pPr>
      <w:r>
        <w:rPr>
          <w:color w:val="1A1A1A"/>
          <w:sz w:val="36"/>
          <w:szCs w:val="36"/>
        </w:rPr>
        <w:t xml:space="preserve">وتأمَّلْ في </w:t>
      </w:r>
      <w:r>
        <w:rPr>
          <w:b/>
          <w:bCs/>
          <w:color w:val="1F5C3A"/>
          <w:sz w:val="36"/>
          <w:szCs w:val="36"/>
        </w:rPr>
        <w:t xml:space="preserve">«صحيح البخاري»</w:t>
      </w:r>
      <w:r>
        <w:rPr>
          <w:color w:val="1A1A1A"/>
          <w:sz w:val="36"/>
          <w:szCs w:val="36"/>
        </w:rPr>
        <w:t xml:space="preserve">: عادَ النبيُّ ﷺ أعرابيًّا فقال: **</w:t>
      </w:r>
      <w:r>
        <w:rPr>
          <w:b/>
          <w:bCs/>
          <w:color w:val="1F5C3A"/>
          <w:sz w:val="36"/>
          <w:szCs w:val="36"/>
        </w:rPr>
        <w:t xml:space="preserve">«لا بأس، طَهورٌ إن شاء الله»</w:t>
      </w:r>
      <w:r>
        <w:rPr>
          <w:color w:val="1A1A1A"/>
          <w:sz w:val="36"/>
          <w:szCs w:val="36"/>
        </w:rPr>
        <w:t xml:space="preserve">**. فقال الأعرابي: كلّا، بل هي حُمّى تفورُ على شيخٍ كبيرٍ تُزيرُه القبور! فقال ﷺ: **</w:t>
      </w:r>
      <w:r>
        <w:rPr>
          <w:b/>
          <w:bCs/>
          <w:color w:val="1F5C3A"/>
          <w:sz w:val="36"/>
          <w:szCs w:val="36"/>
        </w:rPr>
        <w:t xml:space="preserve">«فنعم إذًا»</w:t>
      </w:r>
      <w:r>
        <w:rPr>
          <w:color w:val="1A1A1A"/>
          <w:sz w:val="36"/>
          <w:szCs w:val="36"/>
        </w:rPr>
        <w:t xml:space="preserve">**؛ فأصبحَ الرجلُ مَيْتًا.</w:t>
      </w:r>
      <w:r>
        <w:rPr>
          <w:rStyle w:val="a5"/>
          <w:sz w:val="36"/>
          <w:szCs w:val="36"/>
        </w:rPr>
        <w:footnoteReference w:id="6"/>
      </w:r>
    </w:p>
    <w:p>
      <w:pPr>
        <w:spacing w:after="140" w:line="340" w:lineRule="auto"/>
        <w:jc w:val="both"/>
      </w:pPr>
      <w:r>
        <w:rPr>
          <w:color w:val="1A1A1A"/>
          <w:sz w:val="36"/>
          <w:szCs w:val="36"/>
        </w:rPr>
        <w:t xml:space="preserve">فأَحسِنِ الظنَّ دائمًا، وكُنْ على يقينٍ بأنّ ما يُصيبُك كفّارةٌ ورَفعُ درجات.</w:t>
      </w:r>
    </w:p>
    <w:p>
      <w:pPr>
        <w:spacing w:before="260" w:after="120"/>
      </w:pPr>
      <w:r>
        <w:rPr>
          <w:b/>
          <w:bCs/>
          <w:color w:val="1F5C3A"/>
          <w:sz w:val="36"/>
          <w:szCs w:val="36"/>
        </w:rPr>
        <w:t xml:space="preserve">رابعًا: في مقامِ التوبة</w:t>
      </w:r>
    </w:p>
    <w:p>
      <w:pPr>
        <w:spacing w:after="140" w:line="340" w:lineRule="auto"/>
        <w:jc w:val="both"/>
      </w:pPr>
      <w:r>
        <w:rPr>
          <w:color w:val="1A1A1A"/>
          <w:sz w:val="36"/>
          <w:szCs w:val="36"/>
        </w:rPr>
        <w:t xml:space="preserve">أيها العاصي، يا من أسرفَ على نفسِه ثم يجعَلُ الشيطانُ بينه وبين التوبةِ صحارى: اسمَعْ مقالةَ ربِّك:</w:t>
      </w:r>
    </w:p>
    <w:p>
      <w:pPr>
        <w:pBdr>
          <w:right w:val="single" w:sz="12" w:space="10" w:color="8A6A1F"/>
        </w:pBdr>
        <w:spacing w:before="120" w:after="160" w:line="320" w:lineRule="auto"/>
        <w:ind w:left="504" w:right="504"/>
        <w:jc w:val="both"/>
      </w:pPr>
      <w:r>
        <w:rPr>
          <w:b/>
          <w:bCs/>
          <w:color w:val="8A6A1F"/>
          <w:sz w:val="36"/>
          <w:szCs w:val="36"/>
        </w:rPr>
        <w:t xml:space="preserve">﴿قُلْ يَا عِبَادِيَ الَّذِينَ أَسْرَفُوا عَلَىٰ أَنفُسِهِمْ لَا تَقْنَطُوا مِن رَّحْمَةِ اللَّهِ ۚ إِنَّ اللَّهَ يَغْفِرُ الذُّنُوبَ جَمِيعًا﴾</w:t>
      </w:r>
    </w:p>
    <w:p>
      <w:pPr>
        <w:spacing w:after="140" w:line="340" w:lineRule="auto"/>
        <w:jc w:val="both"/>
      </w:pPr>
      <w:r>
        <w:rPr>
          <w:color w:val="1A1A1A"/>
          <w:sz w:val="36"/>
          <w:szCs w:val="36"/>
        </w:rPr>
        <w:t xml:space="preserve">يُنادي على المُسرِفين ويُضيفُهم إليه: </w:t>
      </w:r>
      <w:r>
        <w:rPr>
          <w:b/>
          <w:bCs/>
          <w:color w:val="8A6A1F"/>
          <w:sz w:val="36"/>
          <w:szCs w:val="36"/>
        </w:rPr>
        <w:t xml:space="preserve">﴿يَا عِبَادِيَ﴾</w:t>
      </w:r>
      <w:r>
        <w:rPr>
          <w:color w:val="1A1A1A"/>
          <w:sz w:val="36"/>
          <w:szCs w:val="36"/>
        </w:rPr>
        <w:t xml:space="preserve">!</w:t>
      </w:r>
    </w:p>
    <w:p>
      <w:pPr>
        <w:spacing w:after="140" w:line="340" w:lineRule="auto"/>
        <w:jc w:val="both"/>
      </w:pPr>
      <w:r>
        <w:rPr>
          <w:color w:val="1A1A1A"/>
          <w:sz w:val="36"/>
          <w:szCs w:val="36"/>
        </w:rPr>
        <w:t xml:space="preserve">وقد جاء رجلٌ إلى النبيِّ ﷺ فقال: أرأيتَ رجلًا عمِلَ الذنوبَ كلَّها ولم يترُكْ منها شيئًا، وهو في ذلك لم يترُكْ حاجةً ولا داجة؛ فهل له من توبة؟ فقال: **</w:t>
      </w:r>
      <w:r>
        <w:rPr>
          <w:b/>
          <w:bCs/>
          <w:color w:val="1F5C3A"/>
          <w:sz w:val="36"/>
          <w:szCs w:val="36"/>
        </w:rPr>
        <w:t xml:space="preserve">«فهل أسلمتَ؟»</w:t>
      </w:r>
      <w:r>
        <w:rPr>
          <w:color w:val="1A1A1A"/>
          <w:sz w:val="36"/>
          <w:szCs w:val="36"/>
        </w:rPr>
        <w:t xml:space="preserve">** قال: أمّا أنا فأشهدُ أن لا إلهَ إلا اللهُ وحدَه لا شريكَ له، وأنّ محمدًا عبدُه ورسولُه. قال ﷺ:</w:t>
      </w:r>
    </w:p>
    <w:p>
      <w:pPr>
        <w:pBdr>
          <w:right w:val="single" w:sz="12" w:space="10" w:color="8A6A1F"/>
        </w:pBdr>
        <w:spacing w:before="120" w:after="160" w:line="320" w:lineRule="auto"/>
        <w:ind w:left="504" w:right="504"/>
        <w:jc w:val="both"/>
      </w:pPr>
      <w:r>
        <w:rPr>
          <w:b/>
          <w:bCs/>
          <w:color w:val="1F5C3A"/>
          <w:sz w:val="36"/>
          <w:szCs w:val="36"/>
        </w:rPr>
        <w:t xml:space="preserve">«نعم؛ تفعَلُ الخيراتِ وتترُكُ السيئات، فيجعلُهنَّ اللهُ لك خيراتٍ كلَّها»</w:t>
      </w:r>
    </w:p>
    <w:p>
      <w:pPr>
        <w:spacing w:after="140" w:line="340" w:lineRule="auto"/>
        <w:jc w:val="both"/>
      </w:pPr>
      <w:r>
        <w:rPr>
          <w:color w:val="1A1A1A"/>
          <w:sz w:val="36"/>
          <w:szCs w:val="36"/>
        </w:rPr>
        <w:t xml:space="preserve">قال: وغَدَراتي وفَجَراتي؟ قال: **</w:t>
      </w:r>
      <w:r>
        <w:rPr>
          <w:b/>
          <w:bCs/>
          <w:color w:val="1F5C3A"/>
          <w:sz w:val="36"/>
          <w:szCs w:val="36"/>
        </w:rPr>
        <w:t xml:space="preserve">«نعم»</w:t>
      </w:r>
      <w:r>
        <w:rPr>
          <w:color w:val="1A1A1A"/>
          <w:sz w:val="36"/>
          <w:szCs w:val="36"/>
        </w:rPr>
        <w:t xml:space="preserve">**. فما زالَ يُكبِّرُ حتى تَوارى.</w:t>
      </w:r>
      <w:r>
        <w:rPr>
          <w:rStyle w:val="a5"/>
          <w:sz w:val="36"/>
          <w:szCs w:val="36"/>
        </w:rPr>
        <w:footnoteReference w:id="7"/>
      </w:r>
    </w:p>
    <w:p>
      <w:pPr>
        <w:spacing w:before="260" w:after="120"/>
      </w:pPr>
      <w:r>
        <w:rPr>
          <w:b/>
          <w:bCs/>
          <w:color w:val="1F5C3A"/>
          <w:sz w:val="36"/>
          <w:szCs w:val="36"/>
        </w:rPr>
        <w:t xml:space="preserve">خامسًا: كيف تُربّي قلبَك على عدمِ اليأس؟</w:t>
      </w:r>
    </w:p>
    <w:p>
      <w:pPr>
        <w:spacing w:after="140" w:line="340" w:lineRule="auto"/>
        <w:jc w:val="both"/>
      </w:pPr>
      <w:r>
        <w:rPr>
          <w:color w:val="1A1A1A"/>
          <w:sz w:val="36"/>
          <w:szCs w:val="36"/>
        </w:rPr>
        <w:t xml:space="preserve">**أوَّلًا: لا تُصاحِبِ اليائسين.** فكثيرٌ منّا لا يجلِسُ إلا مع من يُقنِّطُه. وتأمَّلْ أبا بكرٍ ﵁ لمّا صحِبَ النبيَّ ﷺ في الغار؛ قال: يا رسولَ الله، لو أنّ أحدَهم نظرَ تحت قدمَيه لأبصَرَنا! فقال ﷺ:</w:t>
      </w:r>
    </w:p>
    <w:p>
      <w:pPr>
        <w:pBdr>
          <w:right w:val="single" w:sz="12" w:space="10" w:color="8A6A1F"/>
        </w:pBdr>
        <w:spacing w:before="120" w:after="160" w:line="320" w:lineRule="auto"/>
        <w:ind w:left="504" w:right="504"/>
        <w:jc w:val="both"/>
      </w:pPr>
      <w:r>
        <w:rPr>
          <w:b/>
          <w:bCs/>
          <w:color w:val="1F5C3A"/>
          <w:sz w:val="36"/>
          <w:szCs w:val="36"/>
        </w:rPr>
        <w:t xml:space="preserve">«ما ظنُّك باثنَينِ اللهُ ثالثُهما؟»</w:t>
      </w:r>
      <w:r>
        <w:rPr>
          <w:rStyle w:val="a5"/>
          <w:sz w:val="36"/>
          <w:szCs w:val="36"/>
        </w:rPr>
        <w:footnoteReference w:id="8"/>
      </w:r>
    </w:p>
    <w:p>
      <w:pPr>
        <w:spacing w:after="140" w:line="340" w:lineRule="auto"/>
        <w:jc w:val="both"/>
      </w:pPr>
      <w:r>
        <w:rPr>
          <w:color w:val="1A1A1A"/>
          <w:sz w:val="36"/>
          <w:szCs w:val="36"/>
        </w:rPr>
        <w:t xml:space="preserve">**وثانيًا: انشغِلْ بالعمل.** أنا أعلمُ أنك تتألَّم؛ لكنّ السؤالَ الذي يقضي على اليأس: **ماذا قدَّمت؟** قال ﷺ:</w:t>
      </w:r>
    </w:p>
    <w:p>
      <w:pPr>
        <w:pBdr>
          <w:right w:val="single" w:sz="12" w:space="10" w:color="8A6A1F"/>
        </w:pBdr>
        <w:spacing w:before="120" w:after="160" w:line="320" w:lineRule="auto"/>
        <w:ind w:left="504" w:right="504"/>
        <w:jc w:val="both"/>
      </w:pPr>
      <w:r>
        <w:rPr>
          <w:b/>
          <w:bCs/>
          <w:color w:val="1F5C3A"/>
          <w:sz w:val="36"/>
          <w:szCs w:val="36"/>
        </w:rPr>
        <w:t xml:space="preserve">«إن قامتِ الساعةُ وفي يدِ أحدِكم فَسيلةٌ فإنِ استطاعَ ألّا تقومَ حتى يَغرِسَها فليَغرِسْها»</w:t>
      </w:r>
      <w:r>
        <w:rPr>
          <w:rStyle w:val="a5"/>
          <w:sz w:val="36"/>
          <w:szCs w:val="36"/>
        </w:rPr>
        <w:footnoteReference w:id="9"/>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جعلَنا اللهُ وإياكم ممَّن يعملون لعِزِّ الإسلامِ والمسلمين، وممَّن لا يعرِفون اليأسَ إلى قلوبِهم سبيلًا؛ إنه جوادٌ كريم.</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w:t>
      </w:r>
    </w:p>
    <w:p>
      <w:pPr>
        <w:spacing w:after="140" w:line="340" w:lineRule="auto"/>
        <w:jc w:val="both"/>
      </w:pPr>
      <w:r>
        <w:rPr>
          <w:color w:val="1A1A1A"/>
          <w:sz w:val="36"/>
          <w:szCs w:val="36"/>
        </w:rPr>
        <w:t xml:space="preserve">اللهم كُنْ مع إخوانِنا المستضعَفين؛ انصُرْهم بنصرِك، وأَيِّدْهم بتأييدِك، واجعَلْهم في حِرزِك وحِفظِك. اللهم مُنزِلَ الكتاب، مُجرِيَ السحاب، هازمَ الأحزاب: اهزِمْ من اعتدى عليهم وانصُرْنا عليهم.</w:t>
      </w:r>
      <w:r>
        <w:rPr>
          <w:rStyle w:val="a5"/>
          <w:sz w:val="36"/>
          <w:szCs w:val="36"/>
        </w:rPr>
        <w:footnoteReference w:id="10"/>
      </w:r>
      <w:r>
        <w:rPr>
          <w:color w:val="1A1A1A"/>
          <w:sz w:val="36"/>
          <w:szCs w:val="36"/>
        </w:rPr>
        <w:t xml:space="preserve"> وآخِرُ دعوانا أنِ الحمدُ للهِ ربِّ العالمين.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مقالةٌ مشهورةٌ لابنِ الأثيرِ ﵀ في «الكامل في التاريخ».</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عمّارِ بنِ ياسرٍ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أبي جعفرٍ الطحاويِّ ﵀؛ ذكرَها ابنُ خَلِّكانَ في «وفيات الأعيان» والذهبيُّ في «السير»، وتُذكَرُ للاعتبار.</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سِيبَوَيهِ ﵀ في كتبِ طبقاتِ النحاة، وتُذكَرُ للاعتبار.</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ابنِ تيميةَ ﵀ في وقعةِ شَقْحَب؛ ذكرَها ابنُ كثيرٍ في «البداية والنهاية».</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ابن عباس ﵄.</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الطبرانيُّ من حديث أبي طويلٍ ﵁، وحسَّنه بعضُ أهلِ العلم. ومعناه ثابتٌ بقولِه تعالى: ﴿فَأُولَٰئِكَ يُبَدِّلُ اللَّهُ سَيِّئَاتِهِمْ حَسَنَاتٍ﴾.</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بكرٍ الصدِّيق ﵁.</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أحمدُ والبخاريُّ في «الأدب المفرد» من حديث أنس ﵁، وصححه الألباني.</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أبي أوفى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