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رحمةُ النبيِّ ﷺ</w:t>
      </w:r>
    </w:p>
    <w:p>
      <w:pPr>
        <w:spacing w:after="120"/>
      </w:pPr>
      <w:r>
        <w:rPr>
          <w:color w:val="8A6A1F"/>
          <w:sz w:val="36"/>
          <w:szCs w:val="36"/>
        </w:rPr>
        <w:t xml:space="preserve">صُوَرٌ من رحمتِه: بأصحابِه، وبالأطفال، وبالنساء، وبالجاهل، وبالمُخالِف</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الرحمةُ المُهداة</w:t>
      </w:r>
    </w:p>
    <w:p>
      <w:pPr>
        <w:spacing w:after="140" w:line="340" w:lineRule="auto"/>
        <w:jc w:val="both"/>
      </w:pPr>
      <w:r>
        <w:rPr>
          <w:color w:val="1A1A1A"/>
          <w:sz w:val="36"/>
          <w:szCs w:val="36"/>
        </w:rPr>
        <w:t xml:space="preserve">وبعدُ، أحبَّتي في الله، معاشرَ المصلِّين: لن أُحدِّثَكم عن الصورةِ التي يُشوِّهُها المُشوِّهون؛ بل سأُحدِّثُكم عن **الرحمةِ المُهداة** الذي قال عنه الله:</w:t>
      </w:r>
    </w:p>
    <w:p>
      <w:pPr>
        <w:pBdr>
          <w:right w:val="single" w:sz="12" w:space="10" w:color="8A6A1F"/>
        </w:pBdr>
        <w:spacing w:before="120" w:after="160" w:line="320" w:lineRule="auto"/>
        <w:ind w:left="504" w:right="504"/>
        <w:jc w:val="both"/>
      </w:pPr>
      <w:r>
        <w:rPr>
          <w:b/>
          <w:bCs/>
          <w:color w:val="8A6A1F"/>
          <w:sz w:val="36"/>
          <w:szCs w:val="36"/>
        </w:rPr>
        <w:t xml:space="preserve">﴿وَمَا أَرْسَلْنَاكَ إِلَّا رَحْمَةً لِّلْعَالَمِينَ﴾</w:t>
      </w:r>
    </w:p>
    <w:p>
      <w:pPr>
        <w:spacing w:after="140" w:line="340" w:lineRule="auto"/>
        <w:jc w:val="both"/>
      </w:pPr>
      <w:r>
        <w:rPr>
          <w:color w:val="1A1A1A"/>
          <w:sz w:val="36"/>
          <w:szCs w:val="36"/>
        </w:rPr>
        <w:t xml:space="preserve">وقال هو عن نفسِه ﷺ: **</w:t>
      </w:r>
      <w:r>
        <w:rPr>
          <w:b/>
          <w:bCs/>
          <w:color w:val="1F5C3A"/>
          <w:sz w:val="36"/>
          <w:szCs w:val="36"/>
        </w:rPr>
        <w:t xml:space="preserve">«إنما أنا رحمةٌ مُهداة»</w:t>
      </w:r>
      <w:r>
        <w:rPr>
          <w:color w:val="1A1A1A"/>
          <w:sz w:val="36"/>
          <w:szCs w:val="36"/>
        </w:rPr>
        <w:t xml:space="preserve">**.</w:t>
      </w:r>
      <w:r>
        <w:rPr>
          <w:rStyle w:val="a5"/>
          <w:sz w:val="36"/>
          <w:szCs w:val="36"/>
        </w:rPr>
        <w:footnoteReference w:id="1"/>
      </w:r>
      <w:r>
        <w:rPr>
          <w:color w:val="1A1A1A"/>
          <w:sz w:val="36"/>
          <w:szCs w:val="36"/>
        </w:rPr>
        <w:t xml:space="preserve"> فتعالَ أَقطِفْ لك من زهورِ هذه الرحمة.</w:t>
      </w:r>
    </w:p>
    <w:p>
      <w:pPr>
        <w:spacing w:before="260" w:after="120"/>
      </w:pPr>
      <w:r>
        <w:rPr>
          <w:b/>
          <w:bCs/>
          <w:color w:val="1F5C3A"/>
          <w:sz w:val="36"/>
          <w:szCs w:val="36"/>
        </w:rPr>
        <w:t xml:space="preserve">أولًا: رحمتُه بأصحابِه</w:t>
      </w:r>
    </w:p>
    <w:p>
      <w:pPr>
        <w:spacing w:after="140" w:line="340" w:lineRule="auto"/>
        <w:jc w:val="both"/>
      </w:pPr>
      <w:r>
        <w:rPr>
          <w:color w:val="1A1A1A"/>
          <w:sz w:val="36"/>
          <w:szCs w:val="36"/>
        </w:rPr>
        <w:t xml:space="preserve">نبيُّ الأمَّةِ الذي يأتيه خبَرُ السماءِ من أشدِّ الناسِ رحمةً بأصحابِه؛ يتفقَّدُهم ويسألُ عنهم.</w:t>
      </w:r>
    </w:p>
    <w:p>
      <w:pPr>
        <w:spacing w:after="140" w:line="340" w:lineRule="auto"/>
        <w:jc w:val="both"/>
      </w:pPr>
      <w:r>
        <w:rPr>
          <w:color w:val="1A1A1A"/>
          <w:sz w:val="36"/>
          <w:szCs w:val="36"/>
        </w:rPr>
        <w:t xml:space="preserve">دخلَ المسجدَ يومًا فإذا برجلٍ من الأنصارِ جالس، فقال: **</w:t>
      </w:r>
      <w:r>
        <w:rPr>
          <w:b/>
          <w:bCs/>
          <w:color w:val="1F5C3A"/>
          <w:sz w:val="36"/>
          <w:szCs w:val="36"/>
        </w:rPr>
        <w:t xml:space="preserve">«يا أبا أُمامة، ما لي أراك جالسًا في المسجدِ في غيرِ وقتِ صلاة؟»</w:t>
      </w:r>
      <w:r>
        <w:rPr>
          <w:color w:val="1A1A1A"/>
          <w:sz w:val="36"/>
          <w:szCs w:val="36"/>
        </w:rPr>
        <w:t xml:space="preserve">** قال: هُمومٌ لزِمَتْني ودُيونٌ يا رسولَ الله. قال:</w:t>
      </w:r>
    </w:p>
    <w:p>
      <w:pPr>
        <w:pBdr>
          <w:right w:val="single" w:sz="12" w:space="10" w:color="8A6A1F"/>
        </w:pBdr>
        <w:spacing w:before="120" w:after="160" w:line="320" w:lineRule="auto"/>
        <w:ind w:left="504" w:right="504"/>
        <w:jc w:val="both"/>
      </w:pPr>
      <w:r>
        <w:rPr>
          <w:b/>
          <w:bCs/>
          <w:color w:val="1F5C3A"/>
          <w:sz w:val="36"/>
          <w:szCs w:val="36"/>
        </w:rPr>
        <w:t xml:space="preserve">«أفلا أُعلِّمُك كلامًا إذا قُلتَه أذهبَ اللهُ همَّك وقضى عنك دَينَك؟ قُلْ إذا أصبحتَ وإذا أمسيت: اللهم إني أعوذُ بك من الهَمِّ والحَزَن، وأعوذُ بك من العَجزِ والكسل، وأعوذُ بك من الجُبنِ والبُخل، وأعوذُ بك من غَلَبةِ الدَّينِ وقَهرِ الرجال»</w:t>
      </w:r>
    </w:p>
    <w:p>
      <w:pPr>
        <w:spacing w:after="140" w:line="340" w:lineRule="auto"/>
        <w:jc w:val="both"/>
      </w:pPr>
      <w:r>
        <w:rPr>
          <w:color w:val="1A1A1A"/>
          <w:sz w:val="36"/>
          <w:szCs w:val="36"/>
        </w:rPr>
        <w:t xml:space="preserve">قال: ففعلتُ ذلك، فأذهبَ اللهُ همّي وقضى عني دَيني.</w:t>
      </w:r>
      <w:r>
        <w:rPr>
          <w:rStyle w:val="a5"/>
          <w:sz w:val="36"/>
          <w:szCs w:val="36"/>
        </w:rPr>
        <w:footnoteReference w:id="2"/>
      </w:r>
    </w:p>
    <w:p>
      <w:pPr>
        <w:spacing w:after="140" w:line="340" w:lineRule="auto"/>
        <w:jc w:val="both"/>
      </w:pPr>
      <w:r>
        <w:rPr>
          <w:color w:val="1A1A1A"/>
          <w:sz w:val="36"/>
          <w:szCs w:val="36"/>
        </w:rPr>
        <w:t xml:space="preserve">ومرَّةً رأى **جابرَ بنَ عبد اللهِ ﵄** مُنكسِرًا، فقال له: **</w:t>
      </w:r>
      <w:r>
        <w:rPr>
          <w:b/>
          <w:bCs/>
          <w:color w:val="1F5C3A"/>
          <w:sz w:val="36"/>
          <w:szCs w:val="36"/>
        </w:rPr>
        <w:t xml:space="preserve">«ما لي أراك مُنكسِرًا؟»</w:t>
      </w:r>
      <w:r>
        <w:rPr>
          <w:color w:val="1A1A1A"/>
          <w:sz w:val="36"/>
          <w:szCs w:val="36"/>
        </w:rPr>
        <w:t xml:space="preserve">** فقال: يا رسولَ الله، استُشهِدَ أبي يومَ أُحُدٍ وترَكَ دَينًا وعِيالًا. فقال ﷺ:</w:t>
      </w:r>
    </w:p>
    <w:p>
      <w:pPr>
        <w:pBdr>
          <w:right w:val="single" w:sz="12" w:space="10" w:color="8A6A1F"/>
        </w:pBdr>
        <w:spacing w:before="120" w:after="160" w:line="320" w:lineRule="auto"/>
        <w:ind w:left="504" w:right="504"/>
        <w:jc w:val="both"/>
      </w:pPr>
      <w:r>
        <w:rPr>
          <w:b/>
          <w:bCs/>
          <w:color w:val="1F5C3A"/>
          <w:sz w:val="36"/>
          <w:szCs w:val="36"/>
        </w:rPr>
        <w:t xml:space="preserve">«أفلا أُبشِّرُك بما لقيَ اللهُ به أباك؟... ما كلَّمَ اللهُ أحدًا قطُّ إلا من وراءِ حِجاب، وأحيا أباك فكلَّمَه كِفاحًا فقال: يا عبدي، تمَنَّ عليَّ أُعطِك. قال: يا ربِّ، تُحييني فأُقتَلَ فيك ثانية»</w:t>
      </w:r>
      <w:r>
        <w:rPr>
          <w:rStyle w:val="a5"/>
          <w:sz w:val="36"/>
          <w:szCs w:val="36"/>
        </w:rPr>
        <w:footnoteReference w:id="3"/>
      </w:r>
    </w:p>
    <w:p>
      <w:pPr>
        <w:spacing w:after="140" w:line="340" w:lineRule="auto"/>
        <w:jc w:val="both"/>
      </w:pPr>
      <w:r>
        <w:rPr>
          <w:color w:val="1A1A1A"/>
          <w:sz w:val="36"/>
          <w:szCs w:val="36"/>
        </w:rPr>
        <w:t xml:space="preserve">ثم لم يترُكْه هكذا؛ بل مشى في دَينِه إلى الغُرَماءِ وشفَعَ له، فلمّا جَدَّ جابرٌ ثمرَه بارَكَ اللهُ فيه حتى أوفى الدَّينَ وبقيَ لهم.</w:t>
      </w:r>
      <w:r>
        <w:rPr>
          <w:rStyle w:val="a5"/>
          <w:sz w:val="36"/>
          <w:szCs w:val="36"/>
        </w:rPr>
        <w:footnoteReference w:id="4"/>
      </w:r>
    </w:p>
    <w:p>
      <w:pPr>
        <w:spacing w:before="260" w:after="120"/>
      </w:pPr>
      <w:r>
        <w:rPr>
          <w:b/>
          <w:bCs/>
          <w:color w:val="1F5C3A"/>
          <w:sz w:val="36"/>
          <w:szCs w:val="36"/>
        </w:rPr>
        <w:t xml:space="preserve">ثانيًا: رحمتُه بالأطفال</w:t>
      </w:r>
    </w:p>
    <w:p>
      <w:pPr>
        <w:spacing w:after="140" w:line="340" w:lineRule="auto"/>
        <w:jc w:val="both"/>
      </w:pPr>
      <w:r>
        <w:rPr>
          <w:color w:val="1A1A1A"/>
          <w:sz w:val="36"/>
          <w:szCs w:val="36"/>
        </w:rPr>
        <w:t xml:space="preserve">أيها العابسُ الذي لا يرى رجولتَه إلا في طفلٍ يُهينُه: اسمَعْ. قبَّلَ ﷺ الحسنَ بنَ عليٍّ ﵄ وعندَه الأقرعُ بنُ حابسٍ فقال: إنّ لي عشرةً من الولدِ ما قبَّلتُ منهم أحدًا! فنظرَ إليه ﷺ ثم قال:</w:t>
      </w:r>
    </w:p>
    <w:p>
      <w:pPr>
        <w:pBdr>
          <w:right w:val="single" w:sz="12" w:space="10" w:color="8A6A1F"/>
        </w:pBdr>
        <w:spacing w:before="120" w:after="160" w:line="320" w:lineRule="auto"/>
        <w:ind w:left="504" w:right="504"/>
        <w:jc w:val="both"/>
      </w:pPr>
      <w:r>
        <w:rPr>
          <w:b/>
          <w:bCs/>
          <w:color w:val="1F5C3A"/>
          <w:sz w:val="36"/>
          <w:szCs w:val="36"/>
        </w:rPr>
        <w:t xml:space="preserve">«مَن لا يَرحَمْ لا يُرحَمْ»</w:t>
      </w:r>
      <w:r>
        <w:rPr>
          <w:rStyle w:val="a5"/>
          <w:sz w:val="36"/>
          <w:szCs w:val="36"/>
        </w:rPr>
        <w:footnoteReference w:id="5"/>
      </w:r>
    </w:p>
    <w:p>
      <w:pPr>
        <w:spacing w:after="140" w:line="340" w:lineRule="auto"/>
        <w:jc w:val="both"/>
      </w:pPr>
      <w:r>
        <w:rPr>
          <w:color w:val="1A1A1A"/>
          <w:sz w:val="36"/>
          <w:szCs w:val="36"/>
        </w:rPr>
        <w:t xml:space="preserve">وفي روايةٍ لمّا قال الرجل: أَتُقبِّلون صبيانَكم؟ قال ﷺ: **</w:t>
      </w:r>
      <w:r>
        <w:rPr>
          <w:b/>
          <w:bCs/>
          <w:color w:val="1F5C3A"/>
          <w:sz w:val="36"/>
          <w:szCs w:val="36"/>
        </w:rPr>
        <w:t xml:space="preserve">«أَوَأملِكُ لك أن نزعَ اللهُ من قلبِك الرحمة؟»</w:t>
      </w:r>
      <w:r>
        <w:rPr>
          <w:color w:val="1A1A1A"/>
          <w:sz w:val="36"/>
          <w:szCs w:val="36"/>
        </w:rPr>
        <w:t xml:space="preserve">**</w:t>
      </w:r>
      <w:r>
        <w:rPr>
          <w:rStyle w:val="a5"/>
          <w:sz w:val="36"/>
          <w:szCs w:val="36"/>
        </w:rPr>
        <w:footnoteReference w:id="6"/>
      </w:r>
    </w:p>
    <w:p>
      <w:pPr>
        <w:spacing w:after="140" w:line="340" w:lineRule="auto"/>
        <w:jc w:val="both"/>
      </w:pPr>
      <w:r>
        <w:rPr>
          <w:color w:val="1A1A1A"/>
          <w:sz w:val="36"/>
          <w:szCs w:val="36"/>
        </w:rPr>
        <w:t xml:space="preserve">وكان ﷺ يُطيلُ السجودَ في صلاتِه، فسألوه؛ فقال:</w:t>
      </w:r>
    </w:p>
    <w:p>
      <w:pPr>
        <w:pBdr>
          <w:right w:val="single" w:sz="12" w:space="10" w:color="8A6A1F"/>
        </w:pBdr>
        <w:spacing w:before="120" w:after="160" w:line="320" w:lineRule="auto"/>
        <w:ind w:left="504" w:right="504"/>
        <w:jc w:val="both"/>
      </w:pPr>
      <w:r>
        <w:rPr>
          <w:b/>
          <w:bCs/>
          <w:color w:val="1F5C3A"/>
          <w:sz w:val="36"/>
          <w:szCs w:val="36"/>
        </w:rPr>
        <w:t xml:space="preserve">«إنّ ابني ارتحَلَني، فكرِهتُ أن أُعجِلَه حتى يقضيَ حاجتَه»</w:t>
      </w:r>
      <w:r>
        <w:rPr>
          <w:rStyle w:val="a5"/>
          <w:sz w:val="36"/>
          <w:szCs w:val="36"/>
        </w:rPr>
        <w:footnoteReference w:id="7"/>
      </w:r>
    </w:p>
    <w:p>
      <w:pPr>
        <w:spacing w:after="140" w:line="340" w:lineRule="auto"/>
        <w:jc w:val="both"/>
      </w:pPr>
      <w:r>
        <w:rPr>
          <w:color w:val="1A1A1A"/>
          <w:sz w:val="36"/>
          <w:szCs w:val="36"/>
        </w:rPr>
        <w:t xml:space="preserve">وكان يقولُ لأخي أنسٍ الصغير: **</w:t>
      </w:r>
      <w:r>
        <w:rPr>
          <w:b/>
          <w:bCs/>
          <w:color w:val="1F5C3A"/>
          <w:sz w:val="36"/>
          <w:szCs w:val="36"/>
        </w:rPr>
        <w:t xml:space="preserve">«يا أبا عُمَير، ما فعلَ النُّغَير؟»</w:t>
      </w:r>
      <w:r>
        <w:rPr>
          <w:color w:val="1A1A1A"/>
          <w:sz w:val="36"/>
          <w:szCs w:val="36"/>
        </w:rPr>
        <w:t xml:space="preserve">** ـ يُداعِبُه في عُصفورٍ كان يلعبُ به.</w:t>
      </w:r>
      <w:r>
        <w:rPr>
          <w:rStyle w:val="a5"/>
          <w:sz w:val="36"/>
          <w:szCs w:val="36"/>
        </w:rPr>
        <w:footnoteReference w:id="8"/>
      </w:r>
    </w:p>
    <w:p>
      <w:pPr>
        <w:spacing w:before="260" w:after="120"/>
      </w:pPr>
      <w:r>
        <w:rPr>
          <w:b/>
          <w:bCs/>
          <w:color w:val="1F5C3A"/>
          <w:sz w:val="36"/>
          <w:szCs w:val="36"/>
        </w:rPr>
        <w:t xml:space="preserve">ثالثًا: رحمتُه بالنساءِ والضعفاء</w:t>
      </w:r>
    </w:p>
    <w:p>
      <w:pPr>
        <w:spacing w:after="140" w:line="340" w:lineRule="auto"/>
        <w:jc w:val="both"/>
      </w:pPr>
      <w:r>
        <w:rPr>
          <w:color w:val="1A1A1A"/>
          <w:sz w:val="36"/>
          <w:szCs w:val="36"/>
        </w:rPr>
        <w:t xml:space="preserve">كانت امرأةٌ سوداءُ تَقُمُّ المسجدَ، ففقَدَها ﷺ فسألَ عنها؛ فقالوا: ماتَتْ. فقال:</w:t>
      </w:r>
    </w:p>
    <w:p>
      <w:pPr>
        <w:pBdr>
          <w:right w:val="single" w:sz="12" w:space="10" w:color="8A6A1F"/>
        </w:pBdr>
        <w:spacing w:before="120" w:after="160" w:line="320" w:lineRule="auto"/>
        <w:ind w:left="504" w:right="504"/>
        <w:jc w:val="both"/>
      </w:pPr>
      <w:r>
        <w:rPr>
          <w:b/>
          <w:bCs/>
          <w:color w:val="1F5C3A"/>
          <w:sz w:val="36"/>
          <w:szCs w:val="36"/>
        </w:rPr>
        <w:t xml:space="preserve">«أفلا كنتُم آذَنتُموني؟»</w:t>
      </w:r>
      <w:r>
        <w:rPr>
          <w:b/>
          <w:bCs/>
          <w:color w:val="1F5C3A"/>
          <w:sz w:val="36"/>
          <w:szCs w:val="36"/>
        </w:rPr>
        <w:t xml:space="preserve"> ـ وكأنهمُ صغَّروا أمرَها ـ فقال: </w:t>
      </w:r>
      <w:r>
        <w:rPr>
          <w:b/>
          <w:bCs/>
          <w:color w:val="1F5C3A"/>
          <w:sz w:val="36"/>
          <w:szCs w:val="36"/>
        </w:rPr>
        <w:t xml:space="preserve">«دُلُّوني على قبرِها»</w:t>
      </w:r>
      <w:r>
        <w:rPr>
          <w:b/>
          <w:bCs/>
          <w:color w:val="1F5C3A"/>
          <w:sz w:val="36"/>
          <w:szCs w:val="36"/>
        </w:rPr>
        <w:t xml:space="preserve">. فدَلُّوه فصلّى عليها، ثم قال: </w:t>
      </w:r>
      <w:r>
        <w:rPr>
          <w:b/>
          <w:bCs/>
          <w:color w:val="1F5C3A"/>
          <w:sz w:val="36"/>
          <w:szCs w:val="36"/>
        </w:rPr>
        <w:t xml:space="preserve">«إنّ هذه القبورَ مملوءةٌ ظُلمةً على أهلِها، وإنّ اللهَ يُنوِّرُها لهم بصلاتي عليهم»</w:t>
      </w:r>
      <w:r>
        <w:rPr>
          <w:rStyle w:val="a5"/>
          <w:sz w:val="36"/>
          <w:szCs w:val="36"/>
        </w:rPr>
        <w:footnoteReference w:id="9"/>
      </w:r>
    </w:p>
    <w:p>
      <w:pPr>
        <w:spacing w:after="140" w:line="340" w:lineRule="auto"/>
        <w:jc w:val="both"/>
      </w:pPr>
      <w:r>
        <w:rPr>
          <w:color w:val="1A1A1A"/>
          <w:sz w:val="36"/>
          <w:szCs w:val="36"/>
        </w:rPr>
        <w:t xml:space="preserve">ترَكَ مجلسَه وانطلقَ إلى قبرِها! ﷺ.</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رابعًا: رحمتُه بالجاهل</w:t>
      </w:r>
    </w:p>
    <w:p>
      <w:pPr>
        <w:spacing w:after="140" w:line="340" w:lineRule="auto"/>
        <w:jc w:val="both"/>
      </w:pPr>
      <w:r>
        <w:rPr>
          <w:color w:val="1A1A1A"/>
          <w:sz w:val="36"/>
          <w:szCs w:val="36"/>
        </w:rPr>
        <w:t xml:space="preserve">نحن اليومَ إذا علَّمْنا غيرَنا قسَونا؛ ولذلك يُعرِضُ الناسُ عمّا ندعو إليه، والسببُ أسلوبُنا. وقد قال اللهُ لنبيِّه: </w:t>
      </w:r>
      <w:r>
        <w:rPr>
          <w:b/>
          <w:bCs/>
          <w:color w:val="8A6A1F"/>
          <w:sz w:val="36"/>
          <w:szCs w:val="36"/>
        </w:rPr>
        <w:t xml:space="preserve">﴿فَبِمَا رَحْمَةٍ مِّنَ اللَّهِ لِنتَ لَهُمْ ۖ وَلَوْ كُنتَ فَظًّا غَلِيظَ الْقَلْبِ لَانفَضُّوا مِنْ حَوْلِكَ﴾</w:t>
      </w:r>
      <w:r>
        <w:rPr>
          <w:color w:val="1A1A1A"/>
          <w:sz w:val="36"/>
          <w:szCs w:val="36"/>
        </w:rPr>
        <w:t xml:space="preserve">.</w:t>
      </w:r>
    </w:p>
    <w:p>
      <w:pPr>
        <w:spacing w:after="140" w:line="340" w:lineRule="auto"/>
        <w:jc w:val="both"/>
      </w:pPr>
      <w:r>
        <w:rPr>
          <w:color w:val="1A1A1A"/>
          <w:sz w:val="36"/>
          <w:szCs w:val="36"/>
        </w:rPr>
        <w:t xml:space="preserve">ففي </w:t>
      </w:r>
      <w:r>
        <w:rPr>
          <w:b/>
          <w:bCs/>
          <w:color w:val="1F5C3A"/>
          <w:sz w:val="36"/>
          <w:szCs w:val="36"/>
        </w:rPr>
        <w:t xml:space="preserve">«الصحيحين»</w:t>
      </w:r>
      <w:r>
        <w:rPr>
          <w:color w:val="1A1A1A"/>
          <w:sz w:val="36"/>
          <w:szCs w:val="36"/>
        </w:rPr>
        <w:t xml:space="preserve"> أنّ أعرابيًّا بالَ في المسجد، فقامَ الناسُ ليقَعوا به؛ فقال ﷺ:</w:t>
      </w:r>
    </w:p>
    <w:p>
      <w:pPr>
        <w:pBdr>
          <w:right w:val="single" w:sz="12" w:space="10" w:color="8A6A1F"/>
        </w:pBdr>
        <w:spacing w:before="120" w:after="160" w:line="320" w:lineRule="auto"/>
        <w:ind w:left="504" w:right="504"/>
        <w:jc w:val="both"/>
      </w:pPr>
      <w:r>
        <w:rPr>
          <w:b/>
          <w:bCs/>
          <w:color w:val="1F5C3A"/>
          <w:sz w:val="36"/>
          <w:szCs w:val="36"/>
        </w:rPr>
        <w:t xml:space="preserve">«دَعوه ولا تُزرِموه»</w:t>
      </w:r>
    </w:p>
    <w:p>
      <w:pPr>
        <w:spacing w:after="140" w:line="340" w:lineRule="auto"/>
        <w:jc w:val="both"/>
      </w:pPr>
      <w:r>
        <w:rPr>
          <w:color w:val="1A1A1A"/>
          <w:sz w:val="36"/>
          <w:szCs w:val="36"/>
        </w:rPr>
        <w:t xml:space="preserve">فلمّا فرَغَ دعا بذَنوبٍ من ماءٍ فأُريقَ عليه. ثم دعا الرجلَ فقال له:</w:t>
      </w:r>
    </w:p>
    <w:p>
      <w:pPr>
        <w:pBdr>
          <w:right w:val="single" w:sz="12" w:space="10" w:color="8A6A1F"/>
        </w:pBdr>
        <w:spacing w:before="120" w:after="160" w:line="320" w:lineRule="auto"/>
        <w:ind w:left="504" w:right="504"/>
        <w:jc w:val="both"/>
      </w:pPr>
      <w:r>
        <w:rPr>
          <w:b/>
          <w:bCs/>
          <w:color w:val="1F5C3A"/>
          <w:sz w:val="36"/>
          <w:szCs w:val="36"/>
        </w:rPr>
        <w:t xml:space="preserve">«إنّ هذه المساجدَ لا تصلُحُ لشيءٍ من هذا البولِ ولا القذَر؛ إنما هي لذِكرِ اللهِ ﷿ والصلاةِ وقراءةِ القرآن»</w:t>
      </w:r>
      <w:r>
        <w:rPr>
          <w:rStyle w:val="a5"/>
          <w:sz w:val="36"/>
          <w:szCs w:val="36"/>
        </w:rPr>
        <w:footnoteReference w:id="10"/>
      </w:r>
    </w:p>
    <w:p>
      <w:pPr>
        <w:spacing w:after="140" w:line="340" w:lineRule="auto"/>
        <w:jc w:val="both"/>
      </w:pPr>
      <w:r>
        <w:rPr>
          <w:color w:val="1A1A1A"/>
          <w:sz w:val="36"/>
          <w:szCs w:val="36"/>
        </w:rPr>
        <w:t xml:space="preserve">فقال الأعرابيُّ ـ لمّا رأى هذا الخُلُق: **اللهم ارحَمْني ومحمدًا ولا ترحَمْ معنا أحدًا!** فقال ﷺ: **</w:t>
      </w:r>
      <w:r>
        <w:rPr>
          <w:b/>
          <w:bCs/>
          <w:color w:val="1F5C3A"/>
          <w:sz w:val="36"/>
          <w:szCs w:val="36"/>
        </w:rPr>
        <w:t xml:space="preserve">«لقد حجَّرتَ واسعًا»</w:t>
      </w:r>
      <w:r>
        <w:rPr>
          <w:color w:val="1A1A1A"/>
          <w:sz w:val="36"/>
          <w:szCs w:val="36"/>
        </w:rPr>
        <w:t xml:space="preserve">.**</w:t>
      </w:r>
      <w:r>
        <w:rPr>
          <w:rStyle w:val="a5"/>
          <w:sz w:val="36"/>
          <w:szCs w:val="36"/>
        </w:rPr>
        <w:footnoteReference w:id="11"/>
      </w:r>
    </w:p>
    <w:p>
      <w:pPr>
        <w:spacing w:before="260" w:after="120"/>
      </w:pPr>
      <w:r>
        <w:rPr>
          <w:b/>
          <w:bCs/>
          <w:color w:val="1F5C3A"/>
          <w:sz w:val="36"/>
          <w:szCs w:val="36"/>
        </w:rPr>
        <w:t xml:space="preserve">خامسًا: رحمتُه بالمُخالِف</w:t>
      </w:r>
    </w:p>
    <w:p>
      <w:pPr>
        <w:spacing w:after="140" w:line="340" w:lineRule="auto"/>
        <w:jc w:val="both"/>
      </w:pPr>
      <w:r>
        <w:rPr>
          <w:color w:val="1A1A1A"/>
          <w:sz w:val="36"/>
          <w:szCs w:val="36"/>
        </w:rPr>
        <w:t xml:space="preserve">فقد صوَّرَ اللهُ حالَه مع المُخالفين فقال: </w:t>
      </w:r>
      <w:r>
        <w:rPr>
          <w:b/>
          <w:bCs/>
          <w:color w:val="8A6A1F"/>
          <w:sz w:val="36"/>
          <w:szCs w:val="36"/>
        </w:rPr>
        <w:t xml:space="preserve">﴿فَلَا تَذْهَبْ نَفْسُكَ عَلَيْهِمْ حَسَرَاتٍ﴾</w:t>
      </w:r>
      <w:r>
        <w:rPr>
          <w:color w:val="1A1A1A"/>
          <w:sz w:val="36"/>
          <w:szCs w:val="36"/>
        </w:rPr>
        <w:t xml:space="preserve">، وقال: </w:t>
      </w:r>
      <w:r>
        <w:rPr>
          <w:b/>
          <w:bCs/>
          <w:color w:val="8A6A1F"/>
          <w:sz w:val="36"/>
          <w:szCs w:val="36"/>
        </w:rPr>
        <w:t xml:space="preserve">﴿فَلَعَلَّكَ بَاخِعٌ نَّفْسَكَ عَلَىٰ آثَارِهِمْ إِن لَّمْ يُؤْمِنُوا بِهَٰذَا الْحَدِيثِ أَسَفًا﴾</w:t>
      </w:r>
      <w:r>
        <w:rPr>
          <w:color w:val="1A1A1A"/>
          <w:sz w:val="36"/>
          <w:szCs w:val="36"/>
        </w:rPr>
        <w:t xml:space="preserve"> ـ كادَ يموتُ حسرةً على عدمِ إيمانِهم!</w:t>
      </w:r>
    </w:p>
    <w:p>
      <w:pPr>
        <w:spacing w:after="140" w:line="340" w:lineRule="auto"/>
        <w:jc w:val="both"/>
      </w:pPr>
      <w:r>
        <w:rPr>
          <w:color w:val="1A1A1A"/>
          <w:sz w:val="36"/>
          <w:szCs w:val="36"/>
        </w:rPr>
        <w:t xml:space="preserve">وفي </w:t>
      </w:r>
      <w:r>
        <w:rPr>
          <w:b/>
          <w:bCs/>
          <w:color w:val="1F5C3A"/>
          <w:sz w:val="36"/>
          <w:szCs w:val="36"/>
        </w:rPr>
        <w:t xml:space="preserve">«صحيح البخاري»</w:t>
      </w:r>
      <w:r>
        <w:rPr>
          <w:color w:val="1A1A1A"/>
          <w:sz w:val="36"/>
          <w:szCs w:val="36"/>
        </w:rPr>
        <w:t xml:space="preserve"> أنّ غلامًا يهوديًّا كان يخدُمُ النبيَّ ﷺ فمَرِض، فأتاه يعودُه فقعَدَ عند رأسِه فقال له: **</w:t>
      </w:r>
      <w:r>
        <w:rPr>
          <w:b/>
          <w:bCs/>
          <w:color w:val="1F5C3A"/>
          <w:sz w:val="36"/>
          <w:szCs w:val="36"/>
        </w:rPr>
        <w:t xml:space="preserve">«أَسلِمْ»</w:t>
      </w:r>
      <w:r>
        <w:rPr>
          <w:color w:val="1A1A1A"/>
          <w:sz w:val="36"/>
          <w:szCs w:val="36"/>
        </w:rPr>
        <w:t xml:space="preserve">**. فنظرَ الغلامُ إلى أبيه وهو عندَه، فقال له أبوه: أَطِعْ أبا القاسم. فأسلمَ الغلام. فخرجَ النبيُّ ﷺ وهو يقول:</w:t>
      </w:r>
    </w:p>
    <w:p>
      <w:pPr>
        <w:pBdr>
          <w:right w:val="single" w:sz="12" w:space="10" w:color="8A6A1F"/>
        </w:pBdr>
        <w:spacing w:before="120" w:after="160" w:line="320" w:lineRule="auto"/>
        <w:ind w:left="504" w:right="504"/>
        <w:jc w:val="both"/>
      </w:pPr>
      <w:r>
        <w:rPr>
          <w:b/>
          <w:bCs/>
          <w:color w:val="1F5C3A"/>
          <w:sz w:val="36"/>
          <w:szCs w:val="36"/>
        </w:rPr>
        <w:t xml:space="preserve">«الحمدُ للهِ الذي أنقذَه بي من النار»</w:t>
      </w:r>
      <w:r>
        <w:rPr>
          <w:rStyle w:val="a5"/>
          <w:sz w:val="36"/>
          <w:szCs w:val="36"/>
        </w:rPr>
        <w:footnoteReference w:id="12"/>
      </w:r>
    </w:p>
    <w:p>
      <w:pPr>
        <w:spacing w:before="260" w:after="120"/>
      </w:pPr>
      <w:r>
        <w:rPr>
          <w:b/>
          <w:bCs/>
          <w:color w:val="1F5C3A"/>
          <w:sz w:val="36"/>
          <w:szCs w:val="36"/>
        </w:rPr>
        <w:t xml:space="preserve">سادسًا: رحمتُه بالحيوانِ والجَماد</w:t>
      </w:r>
    </w:p>
    <w:p>
      <w:pPr>
        <w:spacing w:after="140" w:line="340" w:lineRule="auto"/>
        <w:jc w:val="both"/>
      </w:pPr>
      <w:r>
        <w:rPr>
          <w:color w:val="1A1A1A"/>
          <w:sz w:val="36"/>
          <w:szCs w:val="36"/>
        </w:rPr>
        <w:t xml:space="preserve">دخلَ ﷺ حائطًا لرجلٍ من الأنصارِ فإذا جملٌ؛ فلمّا رأى النبيَّ ﷺ حَنَّ وذرَفَتْ عيناه. فأتاه ﷺ فمسحَ سَراتَه ودُموعَه فسكَن، ثم قال: **</w:t>
      </w:r>
      <w:r>
        <w:rPr>
          <w:b/>
          <w:bCs/>
          <w:color w:val="1F5C3A"/>
          <w:sz w:val="36"/>
          <w:szCs w:val="36"/>
        </w:rPr>
        <w:t xml:space="preserve">«مَن ربُّ هذا الجمل؟»</w:t>
      </w:r>
      <w:r>
        <w:rPr>
          <w:color w:val="1A1A1A"/>
          <w:sz w:val="36"/>
          <w:szCs w:val="36"/>
        </w:rPr>
        <w:t xml:space="preserve">** فجاء فتًى من الأنصار، فقال ﷺ:</w:t>
      </w:r>
    </w:p>
    <w:p>
      <w:pPr>
        <w:pBdr>
          <w:right w:val="single" w:sz="12" w:space="10" w:color="8A6A1F"/>
        </w:pBdr>
        <w:spacing w:before="120" w:after="160" w:line="320" w:lineRule="auto"/>
        <w:ind w:left="504" w:right="504"/>
        <w:jc w:val="both"/>
      </w:pPr>
      <w:r>
        <w:rPr>
          <w:b/>
          <w:bCs/>
          <w:color w:val="1F5C3A"/>
          <w:sz w:val="36"/>
          <w:szCs w:val="36"/>
        </w:rPr>
        <w:t xml:space="preserve">«أفلا تتَّقي اللهَ في هذه البهيمةِ التي ملَّكَك اللهُ إيّاها؟ فإنه شكا إليَّ أنك تُجيعُه وتُدئِبُه»</w:t>
      </w:r>
      <w:r>
        <w:rPr>
          <w:rStyle w:val="a5"/>
          <w:sz w:val="36"/>
          <w:szCs w:val="36"/>
        </w:rPr>
        <w:footnoteReference w:id="13"/>
      </w:r>
    </w:p>
    <w:p>
      <w:pPr>
        <w:spacing w:after="140" w:line="340" w:lineRule="auto"/>
        <w:jc w:val="both"/>
      </w:pPr>
      <w:r>
        <w:rPr>
          <w:color w:val="1A1A1A"/>
          <w:sz w:val="36"/>
          <w:szCs w:val="36"/>
        </w:rPr>
        <w:t xml:space="preserve">بل تجاوزَتْ رحمتُه إلى الجَماد؛ فقد كان يخطُبُ إلى جِذعٍ، فلمّا صُنِعَ له المنبرُ وارتقاه **حَنَّ الجِذعُ حنينَ العِشار**، حتى نزلَ ﷺ فالتزَمَه فسكَن، ثم قال: **</w:t>
      </w:r>
      <w:r>
        <w:rPr>
          <w:b/>
          <w:bCs/>
          <w:color w:val="1F5C3A"/>
          <w:sz w:val="36"/>
          <w:szCs w:val="36"/>
        </w:rPr>
        <w:t xml:space="preserve">«لو لم أَحتضِنْه لَحَنَّ إلى يومِ القيامة»</w:t>
      </w:r>
      <w:r>
        <w:rPr>
          <w:color w:val="1A1A1A"/>
          <w:sz w:val="36"/>
          <w:szCs w:val="36"/>
        </w:rPr>
        <w:t xml:space="preserve">**.</w:t>
      </w:r>
      <w:r>
        <w:rPr>
          <w:rStyle w:val="a5"/>
          <w:sz w:val="36"/>
          <w:szCs w:val="36"/>
        </w:rPr>
        <w:footnoteReference w:id="14"/>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فنحن اليومَ نحتاجُ إلى خُلُقِ الرحمة؛ يَرحَمُ المعلِّمُ المتعلِّم، والغنيُّ الفقير، والقويُّ الضعيف. قال ﷺ:</w:t>
      </w:r>
    </w:p>
    <w:p>
      <w:pPr>
        <w:pBdr>
          <w:right w:val="single" w:sz="12" w:space="10" w:color="8A6A1F"/>
        </w:pBdr>
        <w:spacing w:before="120" w:after="160" w:line="320" w:lineRule="auto"/>
        <w:ind w:left="504" w:right="504"/>
        <w:jc w:val="both"/>
      </w:pPr>
      <w:r>
        <w:rPr>
          <w:b/>
          <w:bCs/>
          <w:color w:val="1F5C3A"/>
          <w:sz w:val="36"/>
          <w:szCs w:val="36"/>
        </w:rPr>
        <w:t xml:space="preserve">«الراحمون يرحمُهمُ الرحمن؛ ارحَموا مَن في الأرضِ يَرحَمْكم مَن في السماء»</w:t>
      </w:r>
      <w:r>
        <w:rPr>
          <w:rStyle w:val="a5"/>
          <w:sz w:val="36"/>
          <w:szCs w:val="36"/>
        </w:rPr>
        <w:footnoteReference w:id="15"/>
      </w:r>
    </w:p>
    <w:p>
      <w:pPr>
        <w:spacing w:after="140" w:line="340" w:lineRule="auto"/>
        <w:jc w:val="both"/>
      </w:pPr>
      <w:r>
        <w:rPr>
          <w:color w:val="1A1A1A"/>
          <w:sz w:val="36"/>
          <w:szCs w:val="36"/>
        </w:rPr>
        <w:t xml:space="preserve">جعلَنا اللهُ وإياكم من عبادِه الرحماء؛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الحاكمُ والبيهقيُّ من حديث أبي هريرة ﵁، وصححه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من حديث أبي أُمامة ﵁؛ وفي إسنادِه مقال، وله شواهدُ في «الصحيحين» بنحوِ الدعاءِ من حديث أنس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جابر ﵄، وصححه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جابر ﵄ في قصةِ دَينِ أبيه.</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النسائيُّ وأحمدُ من حديث عبد الله بن شدّادٍ عن أبيه ﵁، وصححه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وأبي هريرة ﵄.</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هريرة ﵁.</w:t>
      </w:r>
    </w:p>
  </w:footnote>
  <w:footnote w:id="1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أنس بن مالك ﵁.</w:t>
      </w:r>
    </w:p>
  </w:footnote>
  <w:footnote w:id="1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عبد الله بن جعفرٍ ﵄، وصححه الألباني.</w:t>
      </w:r>
    </w:p>
  </w:footnote>
  <w:footnote w:id="1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جابر بن عبد الله ﵄.</w:t>
      </w:r>
    </w:p>
  </w:footnote>
  <w:footnote w:id="1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من حديث عبد الله بن عمرو ﵄، وصححه الألباني.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