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فضلُ المشيِ إلى المساجد</w:t>
      </w:r>
    </w:p>
    <w:p>
      <w:pPr>
        <w:spacing w:after="120"/>
      </w:pPr>
      <w:r>
        <w:rPr>
          <w:color w:val="8A6A1F"/>
          <w:sz w:val="36"/>
          <w:szCs w:val="36"/>
        </w:rPr>
        <w:t xml:space="preserve">«من خانَ حيَّ على الفلاح خانَ حيَّ على الكِفاح»</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أقدامٌ تثاقَلَتْ</w:t>
      </w:r>
    </w:p>
    <w:p>
      <w:pPr>
        <w:spacing w:after="140" w:line="340" w:lineRule="auto"/>
        <w:jc w:val="both"/>
      </w:pPr>
      <w:r>
        <w:rPr>
          <w:color w:val="1A1A1A"/>
          <w:sz w:val="36"/>
          <w:szCs w:val="36"/>
        </w:rPr>
        <w:t xml:space="preserve">وبعدُ، أحبَّتي في الله، معاشرَ المصلِّين: تثاقَلَتِ الأقدامُ فكادتِ البيوتُ أن تحترِق! أيُّ بيوتٍ وأيُّ أقدام؟ يُنبِئُك عن خبرِها البخاريُّ في </w:t>
      </w:r>
      <w:r>
        <w:rPr>
          <w:b/>
          <w:bCs/>
          <w:color w:val="1F5C3A"/>
          <w:sz w:val="36"/>
          <w:szCs w:val="36"/>
        </w:rPr>
        <w:t xml:space="preserve">«صحيحه»</w:t>
      </w:r>
      <w:r>
        <w:rPr>
          <w:color w:val="1A1A1A"/>
          <w:sz w:val="36"/>
          <w:szCs w:val="36"/>
        </w:rPr>
        <w:t xml:space="preserve">؛ قال ﷺ:</w:t>
      </w:r>
    </w:p>
    <w:p>
      <w:pPr>
        <w:pBdr>
          <w:right w:val="single" w:sz="12" w:space="10" w:color="8A6A1F"/>
        </w:pBdr>
        <w:spacing w:before="120" w:after="160" w:line="320" w:lineRule="auto"/>
        <w:ind w:left="504" w:right="504"/>
        <w:jc w:val="both"/>
      </w:pPr>
      <w:r>
        <w:rPr>
          <w:b/>
          <w:bCs/>
          <w:color w:val="1F5C3A"/>
          <w:sz w:val="36"/>
          <w:szCs w:val="36"/>
        </w:rPr>
        <w:t xml:space="preserve">«والذي نفسي بيدِه، لقد هَمَمتُ أن آمُرَ بحطَبٍ فيُحطَب، ثم آمُرَ بالصلاةِ فيُؤذَّنَ لها، ثم آمُرَ رجلًا فيَؤُمَّ الناس، ثم أُخالِفَ إلى رجالٍ فأُحرِّقَ عليهم بيوتَهم»</w:t>
      </w:r>
      <w:r>
        <w:rPr>
          <w:rStyle w:val="a5"/>
          <w:sz w:val="36"/>
          <w:szCs w:val="36"/>
        </w:rPr>
        <w:footnoteReference w:id="1"/>
      </w:r>
    </w:p>
    <w:p>
      <w:pPr>
        <w:spacing w:after="140" w:line="340" w:lineRule="auto"/>
        <w:jc w:val="both"/>
      </w:pPr>
      <w:r>
        <w:rPr>
          <w:color w:val="1A1A1A"/>
          <w:sz w:val="36"/>
          <w:szCs w:val="36"/>
        </w:rPr>
        <w:t xml:space="preserve">المتكلِّمُ هو الرحمةُ المُهداةُ ﷺ! ولستُ أُحدِّثُكم اليومَ عن حُكمِ صلاةِ الجماعة ـ فكفى بهذا دليلًا على عِظَمِ شأنِها ـ وإنما أُحدِّثُ نفسي وإيّاكم عن **فضائلِ المشيِ إلى المساجد**.</w:t>
      </w:r>
    </w:p>
    <w:p>
      <w:pPr>
        <w:spacing w:before="260" w:after="120"/>
      </w:pPr>
      <w:r>
        <w:rPr>
          <w:b/>
          <w:bCs/>
          <w:color w:val="1F5C3A"/>
          <w:sz w:val="36"/>
          <w:szCs w:val="36"/>
        </w:rPr>
        <w:t xml:space="preserve">أولًا: رِفعةُ الدرجاتِ وحَطُّ الخطيئات</w:t>
      </w:r>
    </w:p>
    <w:p>
      <w:pPr>
        <w:spacing w:after="140" w:line="340" w:lineRule="auto"/>
        <w:jc w:val="both"/>
      </w:pPr>
      <w:r>
        <w:rPr>
          <w:color w:val="1A1A1A"/>
          <w:sz w:val="36"/>
          <w:szCs w:val="36"/>
        </w:rPr>
        <w:t xml:space="preserve">قال ابنُ مسعودٍ ﵁ ـ كما في </w:t>
      </w:r>
      <w:r>
        <w:rPr>
          <w:b/>
          <w:bCs/>
          <w:color w:val="1F5C3A"/>
          <w:sz w:val="36"/>
          <w:szCs w:val="36"/>
        </w:rPr>
        <w:t xml:space="preserve">«صحيح مسلم»</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«ما من رجلٍ يتطهَّرُ فيُحسِنُ الطُّهور، ثم يَعمِدُ إلى مسجدٍ من هذه المساجد، إلا كتبَ اللهُ له بكلِّ خُطوةٍ يخطوها حسنة، ويرفعُه بها درجة، ويَحُطُّ عنه بها سيِّئة»</w:t>
      </w:r>
      <w:r>
        <w:rPr>
          <w:rStyle w:val="a5"/>
          <w:sz w:val="36"/>
          <w:szCs w:val="36"/>
        </w:rPr>
        <w:footnoteReference w:id="2"/>
      </w:r>
    </w:p>
    <w:p>
      <w:pPr>
        <w:spacing w:after="140" w:line="340" w:lineRule="auto"/>
        <w:jc w:val="both"/>
      </w:pPr>
      <w:r>
        <w:rPr>
          <w:color w:val="1A1A1A"/>
          <w:sz w:val="36"/>
          <w:szCs w:val="36"/>
        </w:rPr>
        <w:t xml:space="preserve">فتخيَّلْ: في كلِّ خُطوةٍ حسنةٌ تُكتَب، ودرجةٌ تُرفَع، وخطيئةٌ تُحَطّ! وقال ﷺ للصحابةِ الذين كانوا يتنافسون في قطعِ مفاوزِ الآخرة:</w:t>
      </w:r>
    </w:p>
    <w:p>
      <w:pPr>
        <w:pBdr>
          <w:right w:val="single" w:sz="12" w:space="10" w:color="8A6A1F"/>
        </w:pBdr>
        <w:spacing w:before="120" w:after="160" w:line="320" w:lineRule="auto"/>
        <w:ind w:left="504" w:right="504"/>
        <w:jc w:val="both"/>
      </w:pPr>
      <w:r>
        <w:rPr>
          <w:b/>
          <w:bCs/>
          <w:color w:val="1F5C3A"/>
          <w:sz w:val="36"/>
          <w:szCs w:val="36"/>
        </w:rPr>
        <w:t xml:space="preserve">«ألا أَدُلُّكم على ما يمحو اللهُ به الخطايا ويرفعُ به الدرجات؟»</w:t>
      </w:r>
      <w:r>
        <w:rPr>
          <w:b/>
          <w:bCs/>
          <w:color w:val="1F5C3A"/>
          <w:sz w:val="36"/>
          <w:szCs w:val="36"/>
        </w:rPr>
        <w:t xml:space="preserve"> قالوا: بلى يا رسولَ الله. قال: </w:t>
      </w:r>
      <w:r>
        <w:rPr>
          <w:b/>
          <w:bCs/>
          <w:color w:val="1F5C3A"/>
          <w:sz w:val="36"/>
          <w:szCs w:val="36"/>
        </w:rPr>
        <w:t xml:space="preserve">«إسباغُ الوُضوءِ على المكاره، وكثرةُ الخُطا إلى المساجد، وانتظارُ الصلاةِ بعد الصلاة؛ فذلكمُ الرِّباط»</w:t>
      </w:r>
      <w:r>
        <w:rPr>
          <w:rStyle w:val="a5"/>
          <w:sz w:val="36"/>
          <w:szCs w:val="36"/>
        </w:rPr>
        <w:footnoteReference w:id="3"/>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«مَن خرجَ من بيتِه مُتطهِّرًا إلى صلاةٍ مكتوبة، فأجرُه كأجرِ الحاجِّ المُحرِم»</w:t>
      </w:r>
      <w:r>
        <w:rPr>
          <w:rStyle w:val="a5"/>
          <w:sz w:val="36"/>
          <w:szCs w:val="36"/>
        </w:rPr>
        <w:footnoteReference w:id="4"/>
      </w:r>
    </w:p>
    <w:p>
      <w:pPr>
        <w:spacing w:before="260" w:after="120"/>
      </w:pPr>
      <w:r>
        <w:rPr>
          <w:b/>
          <w:bCs/>
          <w:color w:val="1F5C3A"/>
          <w:sz w:val="36"/>
          <w:szCs w:val="36"/>
        </w:rPr>
        <w:t xml:space="preserve">ثانيًا: أنها من أماراتِ الإيمان</w:t>
      </w:r>
    </w:p>
    <w:p>
      <w:pPr>
        <w:spacing w:after="140" w:line="340" w:lineRule="auto"/>
        <w:jc w:val="both"/>
      </w:pPr>
      <w:r>
        <w:rPr>
          <w:color w:val="1A1A1A"/>
          <w:sz w:val="36"/>
          <w:szCs w:val="36"/>
        </w:rPr>
        <w:t xml:space="preserve">قال تعالى: </w:t>
      </w:r>
      <w:r>
        <w:rPr>
          <w:b/>
          <w:bCs/>
          <w:color w:val="8A6A1F"/>
          <w:sz w:val="36"/>
          <w:szCs w:val="36"/>
        </w:rPr>
        <w:t xml:space="preserve">﴿إِنَّمَا يَعْمُرُ مَسَاجِدَ اللَّهِ مَنْ آمَنَ بِاللَّهِ وَالْيَوْمِ الْآخِرِ﴾</w:t>
      </w:r>
      <w:r>
        <w:rPr>
          <w:color w:val="1A1A1A"/>
          <w:sz w:val="36"/>
          <w:szCs w:val="36"/>
        </w:rPr>
        <w:t xml:space="preserve">؛ وليست العِمارةُ تشييدَ البُنيان، بل عِمارتُها بالصلاةِ والذِّكر.</w:t>
      </w:r>
    </w:p>
    <w:p>
      <w:pPr>
        <w:spacing w:after="140" w:line="340" w:lineRule="auto"/>
        <w:jc w:val="both"/>
      </w:pPr>
      <w:r>
        <w:rPr>
          <w:color w:val="1A1A1A"/>
          <w:sz w:val="36"/>
          <w:szCs w:val="36"/>
        </w:rPr>
        <w:t xml:space="preserve">وقال ابنُ مسعودٍ ﵁:</w:t>
      </w:r>
    </w:p>
    <w:p>
      <w:pPr>
        <w:pBdr>
          <w:right w:val="single" w:sz="12" w:space="10" w:color="8A6A1F"/>
        </w:pBdr>
        <w:spacing w:before="120" w:after="160" w:line="320" w:lineRule="auto"/>
        <w:ind w:left="504" w:right="504"/>
        <w:jc w:val="both"/>
      </w:pPr>
      <w:r>
        <w:rPr>
          <w:b/>
          <w:bCs/>
          <w:color w:val="1F5C3A"/>
          <w:sz w:val="36"/>
          <w:szCs w:val="36"/>
        </w:rPr>
        <w:t xml:space="preserve">«مَن سرَّه أن يَلقى اللهَ غدًا مسلمًا فليُحافِظْ على هؤلاء الصلواتِ حيث يُنادى بهنّ؛ فإنّ اللهَ شرَعَ لنبيِّكم ﷺ سُنَنَ الهُدى، وإنهنَّ من سُنَنِ الهُدى. ولو أنكم صلَّيتُم في بيوتِكم كما يُصلِّي هذا المُتخلِّفُ في بيتِه لَتركتُم سُنَّةَ نبيِّكم، ولو تركتُم سُنَّةَ نبيِّكم لَضلَلْتُم. ولقد رأيتُنا وما يتخلَّفُ عنها إلا منافقٌ معلومُ النفاق؛ ولقد كان الرجلُ يُؤتى به يُهادى بين الرجلَينِ حتى يُقامَ في الصفّ»</w:t>
      </w:r>
      <w:r>
        <w:rPr>
          <w:rStyle w:val="a5"/>
          <w:sz w:val="36"/>
          <w:szCs w:val="36"/>
        </w:rPr>
        <w:footnoteReference w:id="5"/>
      </w:r>
    </w:p>
    <w:p>
      <w:pPr>
        <w:spacing w:after="140" w:line="340" w:lineRule="auto"/>
        <w:jc w:val="both"/>
      </w:pPr>
      <w:r>
        <w:rPr>
          <w:color w:val="1A1A1A"/>
          <w:sz w:val="36"/>
          <w:szCs w:val="36"/>
        </w:rPr>
        <w:t xml:space="preserve">**رجلٌ مريضٌ يُحمَلُ بين اثنَين حتى يُقامَ في الصفّ!** ولِمَ؟ لأنهم يعرِفون حديثَ ابنِ أمِّ مكتومٍ ﵁؛ ذلك الأعمى الذي جاء إلى النبيِّ ﷺ فقال: يا رسولَ الله، إنه ليس لي قائدٌ يقودُني إلى المسجد ـ يطلُبُ رُخصةً ـ فرخَّصَ له، فلمّا ولّى دعاه فقال:</w:t>
      </w:r>
    </w:p>
    <w:p>
      <w:pPr>
        <w:pBdr>
          <w:right w:val="single" w:sz="12" w:space="10" w:color="8A6A1F"/>
        </w:pBdr>
        <w:spacing w:before="120" w:after="160" w:line="320" w:lineRule="auto"/>
        <w:ind w:left="504" w:right="504"/>
        <w:jc w:val="both"/>
      </w:pPr>
      <w:r>
        <w:rPr>
          <w:b/>
          <w:bCs/>
          <w:color w:val="1F5C3A"/>
          <w:sz w:val="36"/>
          <w:szCs w:val="36"/>
        </w:rPr>
        <w:t xml:space="preserve">«هل تسمعُ النداءَ بالصلاة؟»</w:t>
      </w:r>
      <w:r>
        <w:rPr>
          <w:b/>
          <w:bCs/>
          <w:color w:val="1F5C3A"/>
          <w:sz w:val="36"/>
          <w:szCs w:val="36"/>
        </w:rPr>
        <w:t xml:space="preserve"> قال: نعم. قال: </w:t>
      </w:r>
      <w:r>
        <w:rPr>
          <w:b/>
          <w:bCs/>
          <w:color w:val="1F5C3A"/>
          <w:sz w:val="36"/>
          <w:szCs w:val="36"/>
        </w:rPr>
        <w:t xml:space="preserve">«فأَجِبْ»</w:t>
      </w:r>
      <w:r>
        <w:rPr>
          <w:rStyle w:val="a5"/>
          <w:sz w:val="36"/>
          <w:szCs w:val="36"/>
        </w:rPr>
        <w:footnoteReference w:id="6"/>
      </w:r>
    </w:p>
    <w:p>
      <w:pPr>
        <w:spacing w:after="140" w:line="340" w:lineRule="auto"/>
        <w:jc w:val="both"/>
      </w:pPr>
      <w:r>
        <w:rPr>
          <w:color w:val="1A1A1A"/>
          <w:sz w:val="36"/>
          <w:szCs w:val="36"/>
        </w:rPr>
        <w:t xml:space="preserve">فالأعمى الذي لا قائدَ له لم يُعذَرْ؛ فكيف بالصحيحِ المُبصِرِ الذي بينه وبين المسجدِ خُطُوات؟!</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فمن فضائلِ المشيِ إلى المساجدِ أجورٌ عظيمةٌ يومَ القيامة.</w:t>
      </w:r>
    </w:p>
    <w:p>
      <w:pPr>
        <w:spacing w:before="260" w:after="120"/>
      </w:pPr>
      <w:r>
        <w:rPr>
          <w:b/>
          <w:bCs/>
          <w:color w:val="1F5C3A"/>
          <w:sz w:val="36"/>
          <w:szCs w:val="36"/>
        </w:rPr>
        <w:t xml:space="preserve">ثالثًا: الظِّلُّ يومَ لا ظِلَّ إلا ظِلُّه</w:t>
      </w:r>
    </w:p>
    <w:p>
      <w:pPr>
        <w:spacing w:after="140" w:line="340" w:lineRule="auto"/>
        <w:jc w:val="both"/>
      </w:pPr>
      <w:r>
        <w:rPr>
          <w:color w:val="1A1A1A"/>
          <w:sz w:val="36"/>
          <w:szCs w:val="36"/>
        </w:rPr>
        <w:t xml:space="preserve">حين تدنو الشمسُ من رؤوسِ الخلائقِ ويُلجِمُهمُ العَرَق، يستظِلُّ أقوامٌ؛ قال ﷺ:</w:t>
      </w:r>
    </w:p>
    <w:p>
      <w:pPr>
        <w:pBdr>
          <w:right w:val="single" w:sz="12" w:space="10" w:color="8A6A1F"/>
        </w:pBdr>
        <w:spacing w:before="120" w:after="160" w:line="320" w:lineRule="auto"/>
        <w:ind w:left="504" w:right="504"/>
        <w:jc w:val="both"/>
      </w:pPr>
      <w:r>
        <w:rPr>
          <w:b/>
          <w:bCs/>
          <w:color w:val="1F5C3A"/>
          <w:sz w:val="36"/>
          <w:szCs w:val="36"/>
        </w:rPr>
        <w:t xml:space="preserve">«سبعةٌ يُظِلُّهمُ اللهُ في ظِلِّه يومَ لا ظِلَّ إلا ظِلُّه... ورجلٌ قلبُه مُعلَّقٌ بالمساجد»</w:t>
      </w:r>
      <w:r>
        <w:rPr>
          <w:rStyle w:val="a5"/>
          <w:sz w:val="36"/>
          <w:szCs w:val="36"/>
        </w:rPr>
        <w:footnoteReference w:id="7"/>
      </w:r>
    </w:p>
    <w:p>
      <w:pPr>
        <w:spacing w:after="140" w:line="340" w:lineRule="auto"/>
        <w:jc w:val="both"/>
      </w:pPr>
      <w:r>
        <w:rPr>
          <w:color w:val="1A1A1A"/>
          <w:sz w:val="36"/>
          <w:szCs w:val="36"/>
        </w:rPr>
        <w:t xml:space="preserve">طوبى لمن كان قلبُه مُعلَّقًا ببيتِ الله؛ يأتي قبل الأذانِ فيقرأُ ويذكُر، ثم يغدو ويروح.</w:t>
      </w:r>
    </w:p>
    <w:p>
      <w:pPr>
        <w:spacing w:before="260" w:after="120"/>
      </w:pPr>
      <w:r>
        <w:rPr>
          <w:b/>
          <w:bCs/>
          <w:color w:val="1F5C3A"/>
          <w:sz w:val="36"/>
          <w:szCs w:val="36"/>
        </w:rPr>
        <w:t xml:space="preserve">رابعًا: بناءُ المنازلِ في الجنَّة</w:t>
      </w:r>
    </w:p>
    <w:p>
      <w:pPr>
        <w:spacing w:after="140" w:line="340" w:lineRule="auto"/>
        <w:jc w:val="both"/>
      </w:pPr>
      <w:r>
        <w:rPr>
          <w:color w:val="1A1A1A"/>
          <w:sz w:val="36"/>
          <w:szCs w:val="36"/>
        </w:rPr>
        <w:t xml:space="preserve">أنت تَغترِبُ وتترُكُ بلدَك لبناءِ منزلٍ زائل؛ فما بالُك بمنزلٍ لا يزول؟ قال ﷺ:</w:t>
      </w:r>
    </w:p>
    <w:p>
      <w:pPr>
        <w:pBdr>
          <w:right w:val="single" w:sz="12" w:space="10" w:color="8A6A1F"/>
        </w:pBdr>
        <w:spacing w:before="120" w:after="160" w:line="320" w:lineRule="auto"/>
        <w:ind w:left="504" w:right="504"/>
        <w:jc w:val="both"/>
      </w:pPr>
      <w:r>
        <w:rPr>
          <w:b/>
          <w:bCs/>
          <w:color w:val="1F5C3A"/>
          <w:sz w:val="36"/>
          <w:szCs w:val="36"/>
        </w:rPr>
        <w:t xml:space="preserve">«مَن غدا إلى المسجدِ أو راح، أعَدَّ اللهُ له نُزُلَه من الجنَّةِ كلَّما غدا أو راح»</w:t>
      </w:r>
      <w:r>
        <w:rPr>
          <w:rStyle w:val="a5"/>
          <w:sz w:val="36"/>
          <w:szCs w:val="36"/>
        </w:rPr>
        <w:footnoteReference w:id="8"/>
      </w:r>
    </w:p>
    <w:p>
      <w:pPr>
        <w:spacing w:before="260" w:after="120"/>
      </w:pPr>
      <w:r>
        <w:rPr>
          <w:b/>
          <w:bCs/>
          <w:color w:val="1F5C3A"/>
          <w:sz w:val="36"/>
          <w:szCs w:val="36"/>
        </w:rPr>
        <w:t xml:space="preserve">خامسًا: النورُ التامُّ يومَ القيامة</w:t>
      </w:r>
    </w:p>
    <w:p>
      <w:pPr>
        <w:spacing w:after="140" w:line="340" w:lineRule="auto"/>
        <w:jc w:val="both"/>
      </w:pPr>
      <w:r>
        <w:rPr>
          <w:color w:val="1A1A1A"/>
          <w:sz w:val="36"/>
          <w:szCs w:val="36"/>
        </w:rPr>
        <w:t xml:space="preserve">فيومُ القيامةِ يومٌ مُظلِم؛ سُئِلَتْ عائشةُ ﵂: أين يكونُ الناسُ يومَ </w:t>
      </w:r>
      <w:r>
        <w:rPr>
          <w:b/>
          <w:bCs/>
          <w:color w:val="8A6A1F"/>
          <w:sz w:val="36"/>
          <w:szCs w:val="36"/>
        </w:rPr>
        <w:t xml:space="preserve">﴿تُبَدَّلُ الْأَرْضُ غَيْرَ الْأَرْضِ﴾</w:t>
      </w:r>
      <w:r>
        <w:rPr>
          <w:color w:val="1A1A1A"/>
          <w:sz w:val="36"/>
          <w:szCs w:val="36"/>
        </w:rPr>
        <w:t xml:space="preserve">؟ فقالت: **على الصراط**.</w:t>
      </w:r>
      <w:r>
        <w:rPr>
          <w:rStyle w:val="a5"/>
          <w:sz w:val="36"/>
          <w:szCs w:val="36"/>
        </w:rPr>
        <w:footnoteReference w:id="9"/>
      </w:r>
      <w:r>
        <w:rPr>
          <w:color w:val="1A1A1A"/>
          <w:sz w:val="36"/>
          <w:szCs w:val="36"/>
        </w:rPr>
        <w:t xml:space="preserve"> وهناك يُنوِّرُ اللهُ لأقوام؛ قال ﷺ:</w:t>
      </w:r>
    </w:p>
    <w:p>
      <w:pPr>
        <w:pBdr>
          <w:right w:val="single" w:sz="12" w:space="10" w:color="8A6A1F"/>
        </w:pBdr>
        <w:spacing w:before="120" w:after="160" w:line="320" w:lineRule="auto"/>
        <w:ind w:left="504" w:right="504"/>
        <w:jc w:val="both"/>
      </w:pPr>
      <w:r>
        <w:rPr>
          <w:b/>
          <w:bCs/>
          <w:color w:val="1F5C3A"/>
          <w:sz w:val="36"/>
          <w:szCs w:val="36"/>
        </w:rPr>
        <w:t xml:space="preserve">«بشِّرِ المشَّائينَ في الظُّلَمِ إلى المساجدِ بالنورِ التامِّ يومَ القيامة»</w:t>
      </w:r>
      <w:r>
        <w:rPr>
          <w:rStyle w:val="a5"/>
          <w:sz w:val="36"/>
          <w:szCs w:val="36"/>
        </w:rPr>
        <w:footnoteReference w:id="10"/>
      </w:r>
    </w:p>
    <w:p>
      <w:pPr>
        <w:spacing w:after="140" w:line="340" w:lineRule="auto"/>
        <w:jc w:val="both"/>
      </w:pPr>
      <w:r>
        <w:rPr>
          <w:color w:val="1A1A1A"/>
          <w:sz w:val="36"/>
          <w:szCs w:val="36"/>
        </w:rPr>
        <w:t xml:space="preserve">لاحِظِ اللفظ: **</w:t>
      </w:r>
      <w:r>
        <w:rPr>
          <w:b/>
          <w:bCs/>
          <w:color w:val="1F5C3A"/>
          <w:sz w:val="36"/>
          <w:szCs w:val="36"/>
        </w:rPr>
        <w:t xml:space="preserve">«المشّائين»</w:t>
      </w:r>
      <w:r>
        <w:rPr>
          <w:color w:val="1A1A1A"/>
          <w:sz w:val="36"/>
          <w:szCs w:val="36"/>
        </w:rPr>
        <w:t xml:space="preserve">** ـ صيغةُ مبالغة؛ الملازمِ لا الذي يُصلِّيها إذا وافقَتْ موعدَ عملِه.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وأقولُ ـ وأخاطِبُ نفسي أوَّلًا: **من خانَ </w:t>
      </w:r>
      <w:r>
        <w:rPr>
          <w:b/>
          <w:bCs/>
          <w:color w:val="1F5C3A"/>
          <w:sz w:val="36"/>
          <w:szCs w:val="36"/>
        </w:rPr>
        <w:t xml:space="preserve">«حيَّ على الفلاح»</w:t>
      </w:r>
      <w:r>
        <w:rPr>
          <w:color w:val="1A1A1A"/>
          <w:sz w:val="36"/>
          <w:szCs w:val="36"/>
        </w:rPr>
        <w:t xml:space="preserve"> يُوشِكُ أن يخونَ </w:t>
      </w:r>
      <w:r>
        <w:rPr>
          <w:b/>
          <w:bCs/>
          <w:color w:val="1F5C3A"/>
          <w:sz w:val="36"/>
          <w:szCs w:val="36"/>
        </w:rPr>
        <w:t xml:space="preserve">«حيَّ على الكِفاح»</w:t>
      </w:r>
      <w:r>
        <w:rPr>
          <w:color w:val="1A1A1A"/>
          <w:sz w:val="36"/>
          <w:szCs w:val="36"/>
        </w:rPr>
        <w:t xml:space="preserve">**. فإنّ طريقَ العِزَّةِ والنُّصرةِ يبدأُ من محاريبِ الصلاة؛ </w:t>
      </w:r>
      <w:r>
        <w:rPr>
          <w:b/>
          <w:bCs/>
          <w:color w:val="8A6A1F"/>
          <w:sz w:val="36"/>
          <w:szCs w:val="36"/>
        </w:rPr>
        <w:t xml:space="preserve">﴿وَلَيَنصُرَنَّ اللَّهُ مَن يَنصُرُهُ ۗ إِنَّ اللَّهَ لَقَوِيٌّ عَزِيزٌ﴾</w:t>
      </w:r>
      <w:r>
        <w:rPr>
          <w:color w:val="1A1A1A"/>
          <w:sz w:val="36"/>
          <w:szCs w:val="36"/>
        </w:rPr>
        <w:t xml:space="preserve">.</w:t>
      </w:r>
    </w:p>
    <w:p>
      <w:pPr>
        <w:spacing w:after="140" w:line="340" w:lineRule="auto"/>
        <w:jc w:val="both"/>
      </w:pPr>
      <w:r>
        <w:rPr>
          <w:color w:val="1A1A1A"/>
          <w:sz w:val="36"/>
          <w:szCs w:val="36"/>
        </w:rPr>
        <w:t xml:space="preserve">وقد وصفَ اللهُ الرجولةَ في مَقامَين: في بيوتِه </w:t>
      </w:r>
      <w:r>
        <w:rPr>
          <w:b/>
          <w:bCs/>
          <w:color w:val="8A6A1F"/>
          <w:sz w:val="36"/>
          <w:szCs w:val="36"/>
        </w:rPr>
        <w:t xml:space="preserve">﴿فِي بُيُوتٍ أَذِنَ اللَّهُ أَن تُرْفَعَ وَيُذْكَرَ فِيهَا اسْمُهُ يُسَبِّحُ لَهُ فِيهَا بِالْغُدُوِّ وَالْآصَالِ ۝ رِجَالٌ لَّا تُلْهِيهِمْ تِجَارَةٌ وَلَا بَيْعٌ عَن ذِكْرِ اللَّهِ﴾</w:t>
      </w:r>
      <w:r>
        <w:rPr>
          <w:color w:val="1A1A1A"/>
          <w:sz w:val="36"/>
          <w:szCs w:val="36"/>
        </w:rPr>
        <w:t xml:space="preserve">، وفي مقامِ الصِّدقِ مع الله </w:t>
      </w:r>
      <w:r>
        <w:rPr>
          <w:b/>
          <w:bCs/>
          <w:color w:val="8A6A1F"/>
          <w:sz w:val="36"/>
          <w:szCs w:val="36"/>
        </w:rPr>
        <w:t xml:space="preserve">﴿مِّنَ الْمُؤْمِنِينَ رِجَالٌ صَدَقُوا مَا عَاهَدُوا اللَّهَ عَلَيْهِ﴾</w:t>
      </w:r>
      <w:r>
        <w:rPr>
          <w:color w:val="1A1A1A"/>
          <w:sz w:val="36"/>
          <w:szCs w:val="36"/>
        </w:rPr>
        <w:t xml:space="preserve">.</w:t>
      </w:r>
    </w:p>
    <w:p>
      <w:pPr>
        <w:spacing w:after="140" w:line="340" w:lineRule="auto"/>
        <w:jc w:val="both"/>
      </w:pPr>
      <w:r>
        <w:rPr>
          <w:color w:val="1A1A1A"/>
          <w:sz w:val="36"/>
          <w:szCs w:val="36"/>
        </w:rPr>
        <w:t xml:space="preserve">أسألُ اللهَ أن يكتُبَنا وإياكم ممَّن يلزَمون الجُمَعَ والجماعات؛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أَطعِمْ جائعَهم، وآوِ مُشرَّدَهم، وادفَعْ عنهم البردَ والضُّرّ. اللهم مُنزِلَ الكتاب، مُجرِيَ السحاب، هازمَ الأحزاب: اهزِمْ من اعتدى عليهم وانصُرْنا عليهم.</w:t>
      </w:r>
      <w:r>
        <w:rPr>
          <w:rStyle w:val="a5"/>
          <w:sz w:val="36"/>
          <w:szCs w:val="36"/>
        </w:rPr>
        <w:footnoteReference w:id="11"/>
      </w:r>
      <w:r>
        <w:rPr>
          <w:color w:val="1A1A1A"/>
          <w:sz w:val="36"/>
          <w:szCs w:val="36"/>
        </w:rPr>
        <w:t xml:space="preserve"> ولا تكتُبْنا فيمن خذَلَهم.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مسعود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أبي أُمامة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مسعود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في قصةِ ابنِ أمِّ مكتومٍ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عائشة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بُرَيدةَ ﵁، وصححه الألباني.</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