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صلاحُ القلب</w:t>
      </w:r>
    </w:p>
    <w:p>
      <w:pPr>
        <w:spacing w:after="120"/>
      </w:pPr>
      <w:r>
        <w:rPr>
          <w:color w:val="8A6A1F"/>
          <w:sz w:val="36"/>
          <w:szCs w:val="36"/>
        </w:rPr>
        <w:t xml:space="preserve">منزلةُ القلب، وعَلامتانِ على صلاحِه</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محَلُّ نظرِ الربّ</w:t>
      </w:r>
    </w:p>
    <w:p>
      <w:pPr>
        <w:spacing w:after="140" w:line="340" w:lineRule="auto"/>
        <w:jc w:val="both"/>
      </w:pPr>
      <w:r>
        <w:rPr>
          <w:color w:val="1A1A1A"/>
          <w:sz w:val="36"/>
          <w:szCs w:val="36"/>
        </w:rPr>
        <w:t xml:space="preserve">وبعدُ، أحبَّتي في الله، معاشرَ المصلِّين: لا فوزَ إلا بسلامتِه، ولا صلاحَ لشيءٍ إلا بصلاحِه؛ أهملَه الناسُ مع أنه محَلُّ نظرِ ربِّ الناس. إنه **القلب**:</w:t>
      </w:r>
    </w:p>
    <w:p>
      <w:pPr>
        <w:pBdr>
          <w:right w:val="single" w:sz="12" w:space="10" w:color="8A6A1F"/>
        </w:pBdr>
        <w:spacing w:before="120" w:after="160" w:line="320" w:lineRule="auto"/>
        <w:ind w:left="504" w:right="504"/>
        <w:jc w:val="both"/>
      </w:pPr>
      <w:r>
        <w:rPr>
          <w:b/>
          <w:bCs/>
          <w:color w:val="8A6A1F"/>
          <w:sz w:val="36"/>
          <w:szCs w:val="36"/>
        </w:rPr>
        <w:t xml:space="preserve">﴿يَوْمَ لَا يَنفَعُ مَالٌ وَلَا بَنُونَ ۝ إِلَّا مَنْ أَتَى اللَّهَ بِقَلْبٍ سَلِيمٍ﴾</w:t>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«إنّ اللهَ لا ينظُرُ إلى صُوَرِكم وأموالِكم، ولكنْ ينظُرُ إلى قلوبِكم وأعمالِكم»</w:t>
      </w:r>
      <w:r>
        <w:rPr>
          <w:rStyle w:val="a5"/>
          <w:sz w:val="36"/>
          <w:szCs w:val="36"/>
        </w:rPr>
        <w:footnoteReference w:id="1"/>
      </w:r>
    </w:p>
    <w:p>
      <w:pPr>
        <w:spacing w:after="140" w:line="340" w:lineRule="auto"/>
        <w:jc w:val="both"/>
      </w:pPr>
      <w:r>
        <w:rPr>
          <w:color w:val="1A1A1A"/>
          <w:sz w:val="36"/>
          <w:szCs w:val="36"/>
        </w:rPr>
        <w:t xml:space="preserve">ولمّا كان القلبُ بهذه المنزلة، كان لِزامًا أن نتكلَّمَ عن علاماتِ صلاحِه. ويذكُرُ أهلُ العلمِ جملةً منها؛ وأقتصِرُ على اثنتَين.</w:t>
      </w:r>
    </w:p>
    <w:p>
      <w:pPr>
        <w:spacing w:before="260" w:after="120"/>
      </w:pPr>
      <w:r>
        <w:rPr>
          <w:b/>
          <w:bCs/>
          <w:color w:val="1F5C3A"/>
          <w:sz w:val="36"/>
          <w:szCs w:val="36"/>
        </w:rPr>
        <w:t xml:space="preserve">أولًا: الألمُ والحزنُ على فواتِ الطاعة</w:t>
      </w:r>
    </w:p>
    <w:p>
      <w:pPr>
        <w:spacing w:after="140" w:line="340" w:lineRule="auto"/>
        <w:jc w:val="both"/>
      </w:pPr>
      <w:r>
        <w:rPr>
          <w:color w:val="1A1A1A"/>
          <w:sz w:val="36"/>
          <w:szCs w:val="36"/>
        </w:rPr>
        <w:t xml:space="preserve">لا على خسارةِ مالٍ ولا منصب؛ إنما على فواتِ الطاعاتِ والأوراد. قال أهلُ العلم: **الحزنُ على فواتِ الطاعةِ دليلُ حياةِ القلب.**</w:t>
      </w:r>
    </w:p>
    <w:p>
      <w:pPr>
        <w:spacing w:after="140" w:line="340" w:lineRule="auto"/>
        <w:jc w:val="both"/>
      </w:pPr>
      <w:r>
        <w:rPr>
          <w:color w:val="1A1A1A"/>
          <w:sz w:val="36"/>
          <w:szCs w:val="36"/>
        </w:rPr>
        <w:t xml:space="preserve">فحين تفوتُك الطاعاتُ ثم لا يتحرَّكُ قلبُك ـ فاتَتْ صلاةُ الفجر، فاتَ وِردُك من القرآن، فاتَتْ صِلةُ الأرحام ـ فأَحسَنَ اللهُ عزاءَك؛ فإنّ القلبَ الذي لا يتحرَّكُ لفواتِ الطاعةِ قلبٌ مريض.</w:t>
      </w:r>
    </w:p>
    <w:p>
      <w:pPr>
        <w:spacing w:before="200" w:after="100"/>
      </w:pPr>
      <w:r>
        <w:rPr>
          <w:b/>
          <w:bCs/>
          <w:color w:val="1A1A1A"/>
          <w:sz w:val="36"/>
          <w:szCs w:val="36"/>
        </w:rPr>
        <w:t xml:space="preserve">أنسُ بنُ النَّضْرِ ﵁</w:t>
      </w:r>
    </w:p>
    <w:p>
      <w:pPr>
        <w:spacing w:after="140" w:line="340" w:lineRule="auto"/>
        <w:jc w:val="both"/>
      </w:pPr>
      <w:r>
        <w:rPr>
          <w:color w:val="1A1A1A"/>
          <w:sz w:val="36"/>
          <w:szCs w:val="36"/>
        </w:rPr>
        <w:t xml:space="preserve">لم يشهَدْ بدرًا فظلَّ الألمُ يقطَعُ قلبَه؛ فقال: **</w:t>
      </w:r>
      <w:r>
        <w:rPr>
          <w:b/>
          <w:bCs/>
          <w:color w:val="1F5C3A"/>
          <w:sz w:val="36"/>
          <w:szCs w:val="36"/>
        </w:rPr>
        <w:t xml:space="preserve">«يا رسولَ الله، غِبتُ عن أوَّلِ قتالٍ قاتلتَ فيه المشركين؛ لئنِ اللهُ أشهدَني قتالَ المشركين لَيَرَيَنَّ اللهُ ما أصنع»</w:t>
      </w:r>
      <w:r>
        <w:rPr>
          <w:color w:val="1A1A1A"/>
          <w:sz w:val="36"/>
          <w:szCs w:val="36"/>
        </w:rPr>
        <w:t xml:space="preserve">**. فلمّا كان يومُ أُحُدٍ قاتلَ حتى استُشهِد، فوُجِدَ به بِضعٌ وثمانون ضربة، فما عرَفَه أحدٌ حتى عرَفَتْه أختُه ببَنانِه.</w:t>
      </w:r>
      <w:r>
        <w:rPr>
          <w:rStyle w:val="a5"/>
          <w:sz w:val="36"/>
          <w:szCs w:val="36"/>
        </w:rPr>
        <w:footnoteReference w:id="2"/>
      </w:r>
    </w:p>
    <w:p>
      <w:pPr>
        <w:spacing w:after="140" w:line="340" w:lineRule="auto"/>
        <w:jc w:val="both"/>
      </w:pPr>
      <w:r>
        <w:rPr>
          <w:color w:val="1A1A1A"/>
          <w:sz w:val="36"/>
          <w:szCs w:val="36"/>
        </w:rPr>
        <w:t xml:space="preserve">فمن منّا يحزَنُ اليومَ أنه لم يُصَلِّ الفجرَ في جماعة؟ من يتألَّمُ على فواتِ تكبيرةِ الإحرام؟</w:t>
      </w:r>
    </w:p>
    <w:p>
      <w:pPr>
        <w:spacing w:before="200" w:after="100"/>
      </w:pPr>
      <w:r>
        <w:rPr>
          <w:b/>
          <w:bCs/>
          <w:color w:val="1A1A1A"/>
          <w:sz w:val="36"/>
          <w:szCs w:val="36"/>
        </w:rPr>
        <w:t xml:space="preserve">البَكّاؤون في تبوك</w:t>
      </w:r>
    </w:p>
    <w:p>
      <w:pPr>
        <w:spacing w:after="140" w:line="340" w:lineRule="auto"/>
        <w:jc w:val="both"/>
      </w:pPr>
      <w:r>
        <w:rPr>
          <w:color w:val="1A1A1A"/>
          <w:sz w:val="36"/>
          <w:szCs w:val="36"/>
        </w:rPr>
        <w:t xml:space="preserve">وهذه زُمرةٌ خلَّدَ اللهُ دموعَهم في القرآن:</w:t>
      </w:r>
    </w:p>
    <w:p>
      <w:pPr>
        <w:pBdr>
          <w:right w:val="single" w:sz="12" w:space="10" w:color="8A6A1F"/>
        </w:pBdr>
        <w:spacing w:before="120" w:after="160" w:line="320" w:lineRule="auto"/>
        <w:ind w:left="504" w:right="504"/>
        <w:jc w:val="both"/>
      </w:pPr>
      <w:r>
        <w:rPr>
          <w:b/>
          <w:bCs/>
          <w:color w:val="8A6A1F"/>
          <w:sz w:val="36"/>
          <w:szCs w:val="36"/>
        </w:rPr>
        <w:t xml:space="preserve">﴿وَلَا عَلَى الَّذِينَ إِذَا مَا أَتَوْكَ لِتَحْمِلَهُمْ قُلْتَ لَا أَجِدُ مَا أَحْمِلُكُمْ عَلَيْهِ تَوَلَّوا وَّأَعْيُنُهُمْ تَفِيضُ مِنَ الدَّمْعِ حَزَنًا أَلَّا يَجِدُوا مَا يُنفِقُونَ﴾</w:t>
      </w:r>
    </w:p>
    <w:p>
      <w:pPr>
        <w:spacing w:after="140" w:line="340" w:lineRule="auto"/>
        <w:jc w:val="both"/>
      </w:pPr>
      <w:r>
        <w:rPr>
          <w:color w:val="1A1A1A"/>
          <w:sz w:val="36"/>
          <w:szCs w:val="36"/>
        </w:rPr>
        <w:t xml:space="preserve">جاؤوا إلى النبيِّ ﷺ يطلُبون ما يحمِلُهم فاعتذرَ لهم، **وقد عذَرَهم اللهُ** ـ ومع ذلك بكَتْ قلوبُهم فذكَرَ اللهُ بُكاءَهم!</w:t>
      </w:r>
    </w:p>
    <w:p>
      <w:pPr>
        <w:spacing w:after="140" w:line="340" w:lineRule="auto"/>
        <w:jc w:val="both"/>
      </w:pPr>
      <w:r>
        <w:rPr>
          <w:color w:val="1A1A1A"/>
          <w:sz w:val="36"/>
          <w:szCs w:val="36"/>
        </w:rPr>
        <w:t xml:space="preserve">وفي </w:t>
      </w:r>
      <w:r>
        <w:rPr>
          <w:b/>
          <w:bCs/>
          <w:color w:val="1F5C3A"/>
          <w:sz w:val="36"/>
          <w:szCs w:val="36"/>
        </w:rPr>
        <w:t xml:space="preserve">«الصحيحين»</w:t>
      </w:r>
      <w:r>
        <w:rPr>
          <w:color w:val="1A1A1A"/>
          <w:sz w:val="36"/>
          <w:szCs w:val="36"/>
        </w:rPr>
        <w:t xml:space="preserve"> قال ﷺ في غزوةِ تبوك:</w:t>
      </w:r>
    </w:p>
    <w:p>
      <w:pPr>
        <w:pBdr>
          <w:right w:val="single" w:sz="12" w:space="10" w:color="8A6A1F"/>
        </w:pBdr>
        <w:spacing w:before="120" w:after="160" w:line="320" w:lineRule="auto"/>
        <w:ind w:left="504" w:right="504"/>
        <w:jc w:val="both"/>
      </w:pPr>
      <w:r>
        <w:rPr>
          <w:b/>
          <w:bCs/>
          <w:color w:val="1F5C3A"/>
          <w:sz w:val="36"/>
          <w:szCs w:val="36"/>
        </w:rPr>
        <w:t xml:space="preserve">«إنّ بالمدينةِ أقوامًا ما سِرتُم مَسيرًا ولا قطَعتُم واديًا إلا كانوا معكم؛ حبَسَهم العُذر»</w:t>
      </w:r>
      <w:r>
        <w:rPr>
          <w:rStyle w:val="a5"/>
          <w:sz w:val="36"/>
          <w:szCs w:val="36"/>
        </w:rPr>
        <w:footnoteReference w:id="3"/>
      </w:r>
    </w:p>
    <w:p>
      <w:pPr>
        <w:spacing w:after="140" w:line="340" w:lineRule="auto"/>
        <w:jc w:val="both"/>
      </w:pPr>
      <w:r>
        <w:rPr>
          <w:color w:val="1A1A1A"/>
          <w:sz w:val="36"/>
          <w:szCs w:val="36"/>
        </w:rPr>
        <w:t xml:space="preserve">فالقضيةُ قضيةُ قلب، لا قضيةُ شِعاراتٍ ورايات.</w:t>
      </w:r>
    </w:p>
    <w:p>
      <w:pPr>
        <w:spacing w:before="200" w:after="100"/>
      </w:pPr>
      <w:r>
        <w:rPr>
          <w:b/>
          <w:bCs/>
          <w:color w:val="1A1A1A"/>
          <w:sz w:val="36"/>
          <w:szCs w:val="36"/>
        </w:rPr>
        <w:t xml:space="preserve">من أخبارِ السلف</w:t>
      </w:r>
    </w:p>
    <w:p>
      <w:pPr>
        <w:spacing w:after="140" w:line="340" w:lineRule="auto"/>
        <w:jc w:val="both"/>
      </w:pPr>
      <w:r>
        <w:rPr>
          <w:color w:val="1A1A1A"/>
          <w:sz w:val="36"/>
          <w:szCs w:val="36"/>
        </w:rPr>
        <w:t xml:space="preserve">قال محمدُ بنُ المبارك: **رأيتُ سعيدَ بنَ عبد العزيزِ يبكي في صلاتِه**؛ وسُئل عن ذلك فذكرَ ما فاتَه. وكان حاتمٌ الأصمُّ ﵀ إذا فاتَتْه صلاةُ الجماعةِ عزّاه الناسُ فيقول: **مُصيبتي في الجماعةِ أشدُّ عليَّ من مصيبتي في ولدي.**</w:t>
      </w:r>
      <w:r>
        <w:rPr>
          <w:rStyle w:val="a5"/>
          <w:sz w:val="36"/>
          <w:szCs w:val="36"/>
        </w:rPr>
        <w:footnoteReference w:id="4"/>
      </w:r>
    </w:p>
    <w:p>
      <w:pPr>
        <w:spacing w:after="140" w:line="340" w:lineRule="auto"/>
        <w:jc w:val="both"/>
      </w:pPr>
      <w:r>
        <w:rPr>
          <w:color w:val="1A1A1A"/>
          <w:sz w:val="36"/>
          <w:szCs w:val="36"/>
        </w:rPr>
        <w:t xml:space="preserve">فنحن بين الجمعتَينِ سبعةُ أيام؛ كم صلاةَ جماعةٍ فاتَتْك؟ ليست المصيبةُ أن تفوتَك الجماعة؛ المصيبةُ أن تفوتَ ثم لا يتحرَّكَ القلب.</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ثانيًا: مُراعاةُ شأنِ الإخلاص</w:t>
      </w:r>
    </w:p>
    <w:p>
      <w:pPr>
        <w:spacing w:after="140" w:line="340" w:lineRule="auto"/>
        <w:jc w:val="both"/>
      </w:pPr>
      <w:r>
        <w:rPr>
          <w:color w:val="1A1A1A"/>
          <w:sz w:val="36"/>
          <w:szCs w:val="36"/>
        </w:rPr>
        <w:t xml:space="preserve">أن تُراجِعَ صِدقَ قصدِك مع ربِّك. فمن منّا يسألُ نفسَه: لِمَ صلَّيتُ؟ ولِمَ تصدَّقت؟ ولِمَ تكلَّمت؟ أللهِ أم لغيرِه؟</w:t>
      </w:r>
    </w:p>
    <w:p>
      <w:pPr>
        <w:spacing w:after="140" w:line="340" w:lineRule="auto"/>
        <w:jc w:val="both"/>
      </w:pPr>
      <w:r>
        <w:rPr>
          <w:color w:val="1A1A1A"/>
          <w:sz w:val="36"/>
          <w:szCs w:val="36"/>
        </w:rPr>
        <w:t xml:space="preserve">فالعبدُ الذي يُقلِقُه شأنُ الإخلاص، ويخافُ أن تُرَدَّ أعمالُه في وجهِه، فقلبُه حيٌّ سليم. وأمّا من زكّى نفسَه وأمِنَ على إخلاصِه فأَحسَنَ اللهُ عزاءَه؛ فقد قال أهلُ العلم: **ما أَمِنَ الرياءَ إلا مُرائي، وما خافَ منه إلا مُخلِص.**</w:t>
      </w:r>
    </w:p>
    <w:p>
      <w:pPr>
        <w:spacing w:before="200" w:after="100"/>
      </w:pPr>
      <w:r>
        <w:rPr>
          <w:b/>
          <w:bCs/>
          <w:color w:val="1A1A1A"/>
          <w:sz w:val="36"/>
          <w:szCs w:val="36"/>
        </w:rPr>
        <w:t xml:space="preserve">عمرُ ﵁ وحُذيفةُ ﵁</w:t>
      </w:r>
    </w:p>
    <w:p>
      <w:pPr>
        <w:spacing w:after="140" w:line="340" w:lineRule="auto"/>
        <w:jc w:val="both"/>
      </w:pPr>
      <w:r>
        <w:rPr>
          <w:color w:val="1A1A1A"/>
          <w:sz w:val="36"/>
          <w:szCs w:val="36"/>
        </w:rPr>
        <w:t xml:space="preserve">كان عمرُ ﵁ يسألُ حُذيفةَ ـ صاحبَ سِرِّ النبيِّ ﷺ في المنافقين ـ:</w:t>
      </w:r>
    </w:p>
    <w:p>
      <w:pPr>
        <w:pBdr>
          <w:right w:val="single" w:sz="12" w:space="10" w:color="8A6A1F"/>
        </w:pBdr>
        <w:spacing w:before="120" w:after="160" w:line="320" w:lineRule="auto"/>
        <w:ind w:left="504" w:right="504"/>
        <w:jc w:val="both"/>
      </w:pPr>
      <w:r>
        <w:rPr>
          <w:b/>
          <w:bCs/>
          <w:color w:val="1F5C3A"/>
          <w:sz w:val="36"/>
          <w:szCs w:val="36"/>
        </w:rPr>
        <w:t xml:space="preserve">«أَنشُدُك اللهَ: هل سمّاني لك رسولُ اللهِ ﷺ فيهم؟»</w:t>
      </w:r>
      <w:r>
        <w:rPr>
          <w:b/>
          <w:bCs/>
          <w:color w:val="1F5C3A"/>
          <w:sz w:val="36"/>
          <w:szCs w:val="36"/>
        </w:rPr>
        <w:t xml:space="preserve"> فيقولُ حُذيفة: </w:t>
      </w:r>
      <w:r>
        <w:rPr>
          <w:b/>
          <w:bCs/>
          <w:color w:val="1F5C3A"/>
          <w:sz w:val="36"/>
          <w:szCs w:val="36"/>
        </w:rPr>
        <w:t xml:space="preserve">«لا، ولا أُزكّي بعدَك أحدًا»</w:t>
      </w:r>
      <w:r>
        <w:rPr>
          <w:rStyle w:val="a5"/>
          <w:sz w:val="36"/>
          <w:szCs w:val="36"/>
        </w:rPr>
        <w:footnoteReference w:id="5"/>
      </w:r>
    </w:p>
    <w:p>
      <w:pPr>
        <w:spacing w:after="140" w:line="340" w:lineRule="auto"/>
        <w:jc w:val="both"/>
      </w:pPr>
      <w:r>
        <w:rPr>
          <w:color w:val="1A1A1A"/>
          <w:sz w:val="36"/>
          <w:szCs w:val="36"/>
        </w:rPr>
        <w:t xml:space="preserve">عمرُ الذي يفِرُّ منه الشيطانُ ولا يُزكّي نفسَه! ونحن اليومَ إذا نُصِحَ الواحدُ منّا قال: أنا أُصلّي قبل أن تُولَدَ أنت!</w:t>
      </w:r>
    </w:p>
    <w:p>
      <w:pPr>
        <w:spacing w:before="200" w:after="100"/>
      </w:pPr>
      <w:r>
        <w:rPr>
          <w:b/>
          <w:bCs/>
          <w:color w:val="1A1A1A"/>
          <w:sz w:val="36"/>
          <w:szCs w:val="36"/>
        </w:rPr>
        <w:t xml:space="preserve">من ورَعِ السلفِ في الإخلاص</w:t>
      </w:r>
    </w:p>
    <w:p>
      <w:pPr>
        <w:spacing w:after="140" w:line="340" w:lineRule="auto"/>
        <w:jc w:val="both"/>
      </w:pPr>
      <w:r>
        <w:rPr>
          <w:color w:val="1A1A1A"/>
          <w:sz w:val="36"/>
          <w:szCs w:val="36"/>
        </w:rPr>
        <w:t xml:space="preserve">وكان سليمانُ الأعمشُ ﵀ إذا قرأَ في المصحفِ فدخلَ عليه داخلٌ غطّى المصحف؛ يخافُ على إخلاصِه.</w:t>
      </w:r>
      <w:r>
        <w:rPr>
          <w:rStyle w:val="a5"/>
          <w:sz w:val="36"/>
          <w:szCs w:val="36"/>
        </w:rPr>
        <w:footnoteReference w:id="6"/>
      </w:r>
    </w:p>
    <w:p>
      <w:pPr>
        <w:spacing w:after="140" w:line="340" w:lineRule="auto"/>
        <w:jc w:val="both"/>
      </w:pPr>
      <w:r>
        <w:rPr>
          <w:color w:val="1A1A1A"/>
          <w:sz w:val="36"/>
          <w:szCs w:val="36"/>
        </w:rPr>
        <w:t xml:space="preserve">ويُروى عن **الماوَرديِّ ﵀** ـ صاحبِ التصانيفِ في التفسيرِ والفقه ـ أنه قال لبعضِ خاصَّتِه في مرَضِ موتِه: **الكتبُ التي في الموضعِ الفلانيِّ كلُّها تصنيفي؛ فإذا عايَنتُ الموتَ فضَعْ يدَك في يدي: فإن قبَضتُ عليها فاعلَمْ أنها لم تُقبَلْ فاطرَحْها في دِجلة، وإن بسَطتُها فاعلَمْ أنها قُبِلَتْ وأني قد ظفِرتُ بما رجَوتُ من الإخلاص.** قال: فلمّا حضرَتْه الوفاةُ وضعتُ يدي في يدِه فبسَطَها؛ فظهرَتْ كتبُه بعد ذلك.</w:t>
      </w:r>
      <w:r>
        <w:rPr>
          <w:rStyle w:val="a5"/>
          <w:sz w:val="36"/>
          <w:szCs w:val="36"/>
        </w:rPr>
        <w:footnoteReference w:id="7"/>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فراجِعوا نيّاتِكم واسألوا قلوبَكم: أَمُخلِصةٌ هي أم لا؟ أسألُ اللهَ العليَّ الأعلى ربَّ العرشِ العظيمِ أن يرزُقَنا وإياكم قلوبًا سليمة؛ اللهم إنّا نسألُك قلبًا سليمًا نَقدَمُ به عليك.</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w:t>
      </w:r>
    </w:p>
    <w:p>
      <w:pPr>
        <w:spacing w:after="140" w:line="340" w:lineRule="auto"/>
        <w:jc w:val="both"/>
      </w:pPr>
      <w:r>
        <w:rPr>
          <w:color w:val="1A1A1A"/>
          <w:sz w:val="36"/>
          <w:szCs w:val="36"/>
        </w:rPr>
        <w:t xml:space="preserve">اللهم كُنْ مع المستضعَفين؛ آمِنْ رَوعاتِهم، واستُرْ عَوراتِهم، وآوِ مُشرَّدَهم، وأَطعِمْ جائعَهم. اللهم مُنزِلَ الكتاب، مُجرِيَ السحاب، هازمَ الأحزاب: اهزِمْ من اعتدى عليهم وانصُرْنا عليهم.</w:t>
      </w:r>
      <w:r>
        <w:rPr>
          <w:rStyle w:val="a5"/>
          <w:sz w:val="36"/>
          <w:szCs w:val="36"/>
        </w:rPr>
        <w:footnoteReference w:id="8"/>
      </w:r>
      <w:r>
        <w:rPr>
          <w:color w:val="1A1A1A"/>
          <w:sz w:val="36"/>
          <w:szCs w:val="36"/>
        </w:rPr>
        <w:t xml:space="preserve"> اللهم لا تكتُبْنا فيمن خذَلَهم.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أنس بن مالك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أخبارِ السلفِ في الحزنِ على فواتِ الجماعة؛ ذكرَها أبو نُعيمٍ في «الحلية» والذهبيُّ في «السير».</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عمر وحُذيفةَ ﵄؛ رواه ابنُ سعدٍ في «الطبقات» والبيهقيُّ وغيرُهما.</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سليمانَ بنِ مِهرانَ الأعمشِ ﵀؛ ذكرَها أبو نُعيمٍ في «الحلية».</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أبي الحسنِ الماوَرديِّ ﵀؛ ذكرَها ابنُ خَلِّكانَ في «وفيات الأعيان» والذهبيُّ في «السير».</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