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bidi/>
        <w:spacing w:after="60" w:before="200" w:line="360"/>
        <w:jc w:val="right"/>
      </w:pPr>
      <w:r>
        <w:rPr>
          <w:rFonts w:ascii="Traditional Arabic" w:cs="Traditional Arabic" w:eastAsia="Traditional Arabic" w:hAnsi="Traditional Arabic"/>
          <w:b w:val="false"/>
          <w:bCs w:val="false"/>
          <w:i w:val="false"/>
          <w:iCs w:val="false"/>
          <w:color w:val="8A6F4E"/>
          <w:sz w:val="24"/>
          <w:szCs w:val="24"/>
          <w:rtl/>
        </w:rPr>
        <w:t xml:space="preserve">الخطبة </w:t>
      </w:r>
    </w:p>
    <w:p>
      <w:pPr>
        <w:pBdr>
          <w:bottom w:val="single" w:color="5B3A29" w:sz="12" w:space="8"/>
        </w:pBdr>
        <w:bidi/>
        <w:spacing w:after="60" w:line="380"/>
        <w:jc w:val="right"/>
      </w:pPr>
      <w:r>
        <w:rPr>
          <w:rFonts w:ascii="Traditional Arabic" w:cs="Traditional Arabic" w:eastAsia="Traditional Arabic" w:hAnsi="Traditional Arabic"/>
          <w:b/>
          <w:bCs/>
          <w:i w:val="false"/>
          <w:iCs w:val="false"/>
          <w:color w:val="5B3A29"/>
          <w:sz w:val="40"/>
          <w:szCs w:val="40"/>
          <w:rtl/>
        </w:rPr>
        <w:t xml:space="preserve">البِرُّ والتقوى: مسؤوليّةٌ اجتماعيّة</w:t>
      </w:r>
    </w:p>
    <w:p>
      <w:pPr>
        <w:bidi/>
        <w:spacing w:after="240" w:line="340"/>
        <w:jc w:val="right"/>
      </w:pPr>
      <w:r>
        <w:rPr>
          <w:rFonts w:ascii="Traditional Arabic" w:cs="Traditional Arabic" w:eastAsia="Traditional Arabic" w:hAnsi="Traditional Arabic"/>
          <w:b w:val="false"/>
          <w:bCs w:val="false"/>
          <w:i w:val="false"/>
          <w:iCs w:val="false"/>
          <w:color w:val="6B6B6B"/>
          <w:sz w:val="24"/>
          <w:szCs w:val="24"/>
          <w:rtl/>
        </w:rPr>
        <w:t xml:space="preserve">﴿وَلَٰكِنَّ الْبِرَّ مَنِ اتَّقَىٰ﴾ — ومظاهرُ ضعف البِرّ</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 ﷺ. ﴿يَا أَيُّهَا الَّذِينَ آمَنُوا اتَّقُوا اللَّهَ حَقَّ تُقَاتِهِ وَلَا تَمُوتُنَّ إِلَّا وَأَنتُم مُّسْلِمُونَ﴾. أمّا بعدُ، فإنّ أصدقَ الحديثِ كتابُ الله، وخيرَ الهَدْيِ هديُ محمدٍ ﷺ، وشرَّ الأمورِ محدثاتُها، وكلَّ محدثةٍ بدعة، وكلَّ بدعةٍ ضلالة، وكلَّ ضلالةٍ في النار.</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الخطبة الأولى</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وبعدُ، معاشرَ الموحّدين: </w:t>
      </w:r>
      <w:r>
        <w:rPr>
          <w:rFonts w:ascii="Traditional Arabic" w:cs="Traditional Arabic" w:eastAsia="Traditional Arabic" w:hAnsi="Traditional Arabic"/>
          <w:b/>
          <w:bCs/>
          <w:i w:val="false"/>
          <w:iCs w:val="false"/>
          <w:sz w:val="28"/>
          <w:szCs w:val="28"/>
          <w:rtl/>
        </w:rPr>
        <w:t xml:space="preserve">صفةٌ جعل اللهُ لأهلها عاليَ الجنّات</w:t>
      </w:r>
      <w:r>
        <w:rPr>
          <w:rFonts w:ascii="Traditional Arabic" w:cs="Traditional Arabic" w:eastAsia="Traditional Arabic" w:hAnsi="Traditional Arabic"/>
          <w:b w:val="false"/>
          <w:bCs w:val="false"/>
          <w:i w:val="false"/>
          <w:iCs w:val="false"/>
          <w:sz w:val="28"/>
          <w:szCs w:val="28"/>
          <w:rtl/>
        </w:rPr>
        <w:t xml:space="preserve">، صفةٌ عزّت وندَرت إلا عند مَن رحم الله، </w:t>
      </w:r>
      <w:r>
        <w:rPr>
          <w:rFonts w:ascii="Traditional Arabic" w:cs="Traditional Arabic" w:eastAsia="Traditional Arabic" w:hAnsi="Traditional Arabic"/>
          <w:b/>
          <w:bCs/>
          <w:i w:val="false"/>
          <w:iCs w:val="false"/>
          <w:sz w:val="28"/>
          <w:szCs w:val="28"/>
          <w:rtl/>
        </w:rPr>
        <w:t xml:space="preserve">صفةٌ أخطأ كثيرٌ من الناس في فهمها فلم يُصيبوا حدَّها</w:t>
      </w:r>
      <w:r>
        <w:rPr>
          <w:rFonts w:ascii="Traditional Arabic" w:cs="Traditional Arabic" w:eastAsia="Traditional Arabic" w:hAnsi="Traditional Arabic"/>
          <w:b w:val="false"/>
          <w:bCs w:val="false"/>
          <w:i w:val="false"/>
          <w:iCs w:val="false"/>
          <w:sz w:val="28"/>
          <w:szCs w:val="28"/>
          <w:rtl/>
        </w:rPr>
        <w:t xml:space="preserve">. إنّها </w:t>
      </w:r>
      <w:r>
        <w:rPr>
          <w:rFonts w:ascii="Traditional Arabic" w:cs="Traditional Arabic" w:eastAsia="Traditional Arabic" w:hAnsi="Traditional Arabic"/>
          <w:b/>
          <w:bCs/>
          <w:i w:val="false"/>
          <w:iCs w:val="false"/>
          <w:sz w:val="28"/>
          <w:szCs w:val="28"/>
          <w:rtl/>
        </w:rPr>
        <w:t xml:space="preserve">البِرّ</w:t>
      </w:r>
      <w:r>
        <w:rPr>
          <w:rFonts w:ascii="Traditional Arabic" w:cs="Traditional Arabic" w:eastAsia="Traditional Arabic" w:hAnsi="Traditional Arabic"/>
          <w:b w:val="false"/>
          <w:bCs w:val="false"/>
          <w:i w:val="false"/>
          <w:iCs w:val="false"/>
          <w:sz w:val="28"/>
          <w:szCs w:val="28"/>
          <w:rtl/>
        </w:rPr>
        <w:t xml:space="preserve">. فما البِرُّ؟ وما مظاهرُ ضعفه؟</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أولًا: مفهومٌ مغلوطٌ عند الناس</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البِرُّ ليس سَمْتًا ولا رَسْمًا؛ </w:t>
      </w:r>
      <w:r>
        <w:rPr>
          <w:rFonts w:ascii="Traditional Arabic" w:cs="Traditional Arabic" w:eastAsia="Traditional Arabic" w:hAnsi="Traditional Arabic"/>
          <w:b/>
          <w:bCs/>
          <w:i w:val="false"/>
          <w:iCs w:val="false"/>
          <w:sz w:val="28"/>
          <w:szCs w:val="28"/>
          <w:rtl/>
        </w:rPr>
        <w:t xml:space="preserve">وليس مجرّدَ حرصٍ على صلاةٍ في مسجدٍ وجماعة، ولا إنفاقًا وكثرةَ صدقاتٍ وسكبةَ دموع، ولا تطويلَ قيامٍ وإدامةَ صيام، ولا كثرةَ حجٍّ وعمرة</w:t>
      </w:r>
      <w:r>
        <w:rPr>
          <w:rFonts w:ascii="Traditional Arabic" w:cs="Traditional Arabic" w:eastAsia="Traditional Arabic" w:hAnsi="Traditional Arabic"/>
          <w:b w:val="false"/>
          <w:bCs w:val="false"/>
          <w:i w:val="false"/>
          <w:iCs w:val="false"/>
          <w:sz w:val="28"/>
          <w:szCs w:val="28"/>
          <w:rtl/>
        </w:rPr>
        <w:t xml:space="preserve">؛ وليس عمامةً تُلبَس ولا بِزّةً لمّاعة. </w:t>
      </w:r>
      <w:r>
        <w:rPr>
          <w:rFonts w:ascii="Traditional Arabic" w:cs="Traditional Arabic" w:eastAsia="Traditional Arabic" w:hAnsi="Traditional Arabic"/>
          <w:b/>
          <w:bCs/>
          <w:i w:val="false"/>
          <w:iCs w:val="false"/>
          <w:sz w:val="28"/>
          <w:szCs w:val="28"/>
          <w:rtl/>
        </w:rPr>
        <w:t xml:space="preserve">البِرُّ على هذا التصوُّر وحدَه مفهومٌ مغلوطٌ هدمه القرآن</w:t>
      </w:r>
      <w:r>
        <w:rPr>
          <w:rFonts w:ascii="Traditional Arabic" w:cs="Traditional Arabic" w:eastAsia="Traditional Arabic" w:hAnsi="Traditional Arabic"/>
          <w:b w:val="false"/>
          <w:bCs w:val="false"/>
          <w:i w:val="false"/>
          <w:iCs w:val="false"/>
          <w:sz w:val="28"/>
          <w:szCs w:val="28"/>
          <w:rtl/>
        </w:rPr>
        <w:t xml:space="preserve">:</w:t>
      </w:r>
    </w:p>
    <w:p>
      <w:pPr>
        <w:pBdr>
          <w:top w:val="single" w:color="C0A47E" w:sz="6" w:space="8"/>
          <w:bottom w:val="single" w:color="C0A47E" w:sz="6" w:space="8"/>
          <w:left w:val="single" w:color="C0A47E" w:sz="6" w:space="8"/>
          <w:right w:val="single" w:color="C0A47E" w:sz="6" w:space="8"/>
        </w:pBdr>
        <w:shd w:fill="FBF8F3" w:val="clear"/>
        <w:bidi/>
        <w:spacing w:after="140" w:before="140" w:line="375"/>
        <w:ind w:left="288" w:right="288"/>
        <w:jc w:val="both"/>
      </w:pPr>
      <w:r>
        <w:rPr>
          <w:rFonts w:ascii="Traditional Arabic" w:cs="Traditional Arabic" w:eastAsia="Traditional Arabic" w:hAnsi="Traditional Arabic"/>
          <w:b/>
          <w:bCs/>
          <w:i w:val="false"/>
          <w:iCs w:val="false"/>
          <w:sz w:val="28"/>
          <w:szCs w:val="28"/>
          <w:rtl/>
        </w:rPr>
        <w:t xml:space="preserve">﴿لَّيْسَ الْبِرَّ أَن تُوَلُّوا وُجُوهَكُمْ قِبَلَ الْمَشْرِقِ وَالْمَغْرِبِ وَلَٰكِنَّ الْبِرَّ مَنْ آمَنَ بِاللَّهِ وَالْيَوْمِ الْآخِرِ… وَآتَى الْمَالَ عَلَىٰ حُبِّهِ ذَوِي الْقُرْبَىٰ وَالْيَتَامَىٰ وَالْمَسَاكِينَ﴾</w:t>
      </w:r>
      <w:r>
        <w:rPr>
          <w:rFonts w:ascii="Traditional Arabic" w:cs="Traditional Arabic" w:eastAsia="Traditional Arabic" w:hAnsi="Traditional Arabic"/>
          <w:b w:val="false"/>
          <w:bCs w:val="false"/>
          <w:i w:val="false"/>
          <w:iCs w:val="false"/>
          <w:sz w:val="28"/>
          <w:szCs w:val="28"/>
          <w:rtl/>
        </w:rPr>
        <w:t xml:space="preserve">، وقال: </w:t>
      </w:r>
      <w:r>
        <w:rPr>
          <w:rFonts w:ascii="Traditional Arabic" w:cs="Traditional Arabic" w:eastAsia="Traditional Arabic" w:hAnsi="Traditional Arabic"/>
          <w:b/>
          <w:bCs/>
          <w:i w:val="false"/>
          <w:iCs w:val="false"/>
          <w:sz w:val="28"/>
          <w:szCs w:val="28"/>
          <w:rtl/>
        </w:rPr>
        <w:t xml:space="preserve">﴿وَلَيْسَ الْبِرُّ بِأَن تَأْتُوا الْبُيُوتَ مِن ظُهُورِهَا وَلَٰكِنَّ الْبِرَّ مَنِ اتَّقَىٰ﴾</w:t>
      </w:r>
      <w:r>
        <w:rPr>
          <w:rFonts w:ascii="Traditional Arabic" w:cs="Traditional Arabic" w:eastAsia="Traditional Arabic" w:hAnsi="Traditional Arabic"/>
          <w:b w:val="false"/>
          <w:bCs w:val="false"/>
          <w:i w:val="false"/>
          <w:iCs w:val="false"/>
          <w:sz w:val="28"/>
          <w:szCs w:val="28"/>
          <w:rtl/>
        </w:rPr>
        <w:t xml:space="preserve">.</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ثانيًا: مظاهرُ ضعف البِرّ</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١) عدمُ حفظ اللسان</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ترى العبدَ شَغوفًا بقراءة القرآن، مُقاتِلًا على الصفِّ الأوّل، مُحسِنًا في بناء المساجد — </w:t>
      </w:r>
      <w:r>
        <w:rPr>
          <w:rFonts w:ascii="Traditional Arabic" w:cs="Traditional Arabic" w:eastAsia="Traditional Arabic" w:hAnsi="Traditional Arabic"/>
          <w:b/>
          <w:bCs/>
          <w:i w:val="false"/>
          <w:iCs w:val="false"/>
          <w:sz w:val="28"/>
          <w:szCs w:val="28"/>
          <w:rtl/>
        </w:rPr>
        <w:t xml:space="preserve">ولكنّه لا يتورّع عن غِيبةٍ ولا نميمةٍ ولا كذب!</w:t>
      </w:r>
      <w:r>
        <w:rPr>
          <w:rFonts w:ascii="Traditional Arabic" w:cs="Traditional Arabic" w:eastAsia="Traditional Arabic" w:hAnsi="Traditional Arabic"/>
          <w:b w:val="false"/>
          <w:bCs w:val="false"/>
          <w:i w:val="false"/>
          <w:iCs w:val="false"/>
          <w:sz w:val="28"/>
          <w:szCs w:val="28"/>
          <w:rtl/>
        </w:rPr>
        <w:t xml:space="preserve"> وقد غفلنا عن حديثٍ يستحقُّ أن يُكتَب على كلِّ جدار: </w:t>
      </w:r>
      <w:r>
        <w:rPr>
          <w:rFonts w:ascii="Traditional Arabic" w:cs="Traditional Arabic" w:eastAsia="Traditional Arabic" w:hAnsi="Traditional Arabic"/>
          <w:b/>
          <w:bCs/>
          <w:i w:val="false"/>
          <w:iCs w:val="false"/>
          <w:sz w:val="28"/>
          <w:szCs w:val="28"/>
          <w:rtl/>
        </w:rPr>
        <w:t xml:space="preserve">«أتدرون ما المفلس؟» قالوا: المفلسُ فينا مَن لا درهمَ له ولا متاع. قال: «إنّ المفلسَ من أمّتي مَن يأتي يومَ القيامة بصلاةٍ وصيامٍ وزكاة، ويأتي وقد شتم هذا، وقذف هذا، وأكل مال هذا، وسفك دم هذا، وضرب هذا — فيُعطى هذا من حسناته وهذا من حسناته؛ فإن فنيت حسناتُه قبل أن يُقضى ما عليه، أُخِذَ من خطاياهم فطُرِحت عليه، ثم طُرِح في النار»</w:t>
      </w:r>
      <w:r>
        <w:rPr>
          <w:rFonts w:ascii="Traditional Arabic" w:cs="Traditional Arabic" w:eastAsia="Traditional Arabic" w:hAnsi="Traditional Arabic"/>
          <w:b w:val="false"/>
          <w:bCs w:val="false"/>
          <w:i w:val="false"/>
          <w:iCs w:val="false"/>
          <w:sz w:val="28"/>
          <w:szCs w:val="28"/>
          <w:rtl/>
        </w:rPr>
        <w:t xml:space="preserve">. رواه مسلم.</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وفي حديثٍ عجيبٍ: ذُكِر للنبيّ ﷺ </w:t>
      </w:r>
      <w:r>
        <w:rPr>
          <w:rFonts w:ascii="Traditional Arabic" w:cs="Traditional Arabic" w:eastAsia="Traditional Arabic" w:hAnsi="Traditional Arabic"/>
          <w:b/>
          <w:bCs/>
          <w:i w:val="false"/>
          <w:iCs w:val="false"/>
          <w:sz w:val="28"/>
          <w:szCs w:val="28"/>
          <w:rtl/>
        </w:rPr>
        <w:t xml:space="preserve">أنّ فلانةَ تصوم النهارَ وتقوم الليلَ وتتصدّق، غيرَ أنّها تُؤذي جيرانَها بلسانها. فقال: «هي في النار»</w:t>
      </w:r>
      <w:r>
        <w:rPr>
          <w:rFonts w:ascii="Traditional Arabic" w:cs="Traditional Arabic" w:eastAsia="Traditional Arabic" w:hAnsi="Traditional Arabic"/>
          <w:b w:val="false"/>
          <w:bCs w:val="false"/>
          <w:i w:val="false"/>
          <w:iCs w:val="false"/>
          <w:sz w:val="28"/>
          <w:szCs w:val="28"/>
          <w:rtl/>
        </w:rPr>
        <w:t xml:space="preserve">. وذُكِرت أخرى </w:t>
      </w:r>
      <w:r>
        <w:rPr>
          <w:rFonts w:ascii="Traditional Arabic" w:cs="Traditional Arabic" w:eastAsia="Traditional Arabic" w:hAnsi="Traditional Arabic"/>
          <w:b/>
          <w:bCs/>
          <w:i w:val="false"/>
          <w:iCs w:val="false"/>
          <w:sz w:val="28"/>
          <w:szCs w:val="28"/>
          <w:rtl/>
        </w:rPr>
        <w:t xml:space="preserve">تُصلّي المكتوبةَ وتتصدّق بأثوارٍ من أَقِط، ولا تُؤذي أحدًا. فقال: «هي في الجنّة»</w:t>
      </w:r>
      <w:r>
        <w:rPr>
          <w:rStyle w:val="FootnoteReference"/>
        </w:rPr>
        <w:footnoteReference w:id="1"/>
      </w:r>
      <w:r>
        <w:rPr>
          <w:rFonts w:ascii="Traditional Arabic" w:cs="Traditional Arabic" w:eastAsia="Traditional Arabic" w:hAnsi="Traditional Arabic"/>
          <w:b w:val="false"/>
          <w:bCs w:val="false"/>
          <w:i w:val="false"/>
          <w:iCs w:val="false"/>
          <w:sz w:val="28"/>
          <w:szCs w:val="28"/>
          <w:rtl/>
        </w:rPr>
        <w:t xml:space="preserve">.</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٢) التقصيرُ في حقوق الخلق</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فلو كان العبدُ حريصًا على شعائر الإسلام الظاهرة، </w:t>
      </w:r>
      <w:r>
        <w:rPr>
          <w:rFonts w:ascii="Traditional Arabic" w:cs="Traditional Arabic" w:eastAsia="Traditional Arabic" w:hAnsi="Traditional Arabic"/>
          <w:b/>
          <w:bCs/>
          <w:i w:val="false"/>
          <w:iCs w:val="false"/>
          <w:sz w:val="28"/>
          <w:szCs w:val="28"/>
          <w:rtl/>
        </w:rPr>
        <w:t xml:space="preserve">ولكنّ نبتةَ البِرِّ لم تُزرَع في قلبه — فقصّر في حقِّ أبٍ وأمٍّ فعقَّهما، وقطع رحمَه، وآذى جارَه</w:t>
      </w:r>
      <w:r>
        <w:rPr>
          <w:rFonts w:ascii="Traditional Arabic" w:cs="Traditional Arabic" w:eastAsia="Traditional Arabic" w:hAnsi="Traditional Arabic"/>
          <w:b w:val="false"/>
          <w:bCs w:val="false"/>
          <w:i w:val="false"/>
          <w:iCs w:val="false"/>
          <w:sz w:val="28"/>
          <w:szCs w:val="28"/>
          <w:rtl/>
        </w:rPr>
        <w:t xml:space="preserve"> — </w:t>
      </w:r>
      <w:r>
        <w:rPr>
          <w:rFonts w:ascii="Traditional Arabic" w:cs="Traditional Arabic" w:eastAsia="Traditional Arabic" w:hAnsi="Traditional Arabic"/>
          <w:b/>
          <w:bCs/>
          <w:i w:val="false"/>
          <w:iCs w:val="false"/>
          <w:sz w:val="28"/>
          <w:szCs w:val="28"/>
          <w:rtl/>
        </w:rPr>
        <w:t xml:space="preserve">فواللهِ إنّه ليس من الأبرار في شيء</w:t>
      </w:r>
      <w:r>
        <w:rPr>
          <w:rFonts w:ascii="Traditional Arabic" w:cs="Traditional Arabic" w:eastAsia="Traditional Arabic" w:hAnsi="Traditional Arabic"/>
          <w:b w:val="false"/>
          <w:bCs w:val="false"/>
          <w:i w:val="false"/>
          <w:iCs w:val="false"/>
          <w:sz w:val="28"/>
          <w:szCs w:val="28"/>
          <w:rtl/>
        </w:rPr>
        <w:t xml:space="preserve">. وقال ﷺ: </w:t>
      </w:r>
      <w:r>
        <w:rPr>
          <w:rFonts w:ascii="Traditional Arabic" w:cs="Traditional Arabic" w:eastAsia="Traditional Arabic" w:hAnsi="Traditional Arabic"/>
          <w:b/>
          <w:bCs/>
          <w:i w:val="false"/>
          <w:iCs w:val="false"/>
          <w:sz w:val="28"/>
          <w:szCs w:val="28"/>
          <w:rtl/>
        </w:rPr>
        <w:t xml:space="preserve">«وأحسِنْ إلى جارك تكن مؤمنًا، وأحِبَّ للناس ما تُحبُّ لنفسك تكن مسلمًا»</w:t>
      </w:r>
      <w:r>
        <w:rPr>
          <w:rStyle w:val="FootnoteReference"/>
        </w:rPr>
        <w:footnoteReference w:id="2"/>
      </w:r>
      <w:r>
        <w:rPr>
          <w:rFonts w:ascii="Traditional Arabic" w:cs="Traditional Arabic" w:eastAsia="Traditional Arabic" w:hAnsi="Traditional Arabic"/>
          <w:b w:val="false"/>
          <w:bCs w:val="false"/>
          <w:i w:val="false"/>
          <w:iCs w:val="false"/>
          <w:sz w:val="28"/>
          <w:szCs w:val="28"/>
          <w:rtl/>
        </w:rPr>
        <w:t xml:space="preserve">.</w:t>
      </w:r>
    </w:p>
    <w:p>
      <w:pPr>
        <w:pBdr>
          <w:top w:val="single" w:color="C0A47E" w:sz="6" w:space="8"/>
          <w:bottom w:val="single" w:color="C0A47E" w:sz="6" w:space="8"/>
          <w:left w:val="single" w:color="C0A47E" w:sz="6" w:space="8"/>
          <w:right w:val="single" w:color="C0A47E" w:sz="6" w:space="8"/>
        </w:pBdr>
        <w:shd w:fill="FBF8F3" w:val="clear"/>
        <w:bidi/>
        <w:spacing w:after="140" w:before="140" w:line="375"/>
        <w:ind w:left="288" w:right="288"/>
        <w:jc w:val="both"/>
      </w:pPr>
      <w:r>
        <w:rPr>
          <w:rFonts w:ascii="Traditional Arabic" w:cs="Traditional Arabic" w:eastAsia="Traditional Arabic" w:hAnsi="Traditional Arabic"/>
          <w:b w:val="false"/>
          <w:bCs w:val="false"/>
          <w:i w:val="false"/>
          <w:iCs w:val="false"/>
          <w:sz w:val="28"/>
          <w:szCs w:val="28"/>
          <w:rtl/>
        </w:rPr>
        <w:t xml:space="preserve">وقال عبيدُ الله بنُ عمر — وقد أمسك حصاةً —: </w:t>
      </w:r>
      <w:r>
        <w:rPr>
          <w:rFonts w:ascii="Traditional Arabic" w:cs="Traditional Arabic" w:eastAsia="Traditional Arabic" w:hAnsi="Traditional Arabic"/>
          <w:b/>
          <w:bCs/>
          <w:i w:val="false"/>
          <w:iCs w:val="false"/>
          <w:sz w:val="28"/>
          <w:szCs w:val="28"/>
          <w:rtl/>
        </w:rPr>
        <w:t xml:space="preserve">واللهِ لَزِنةُ هذه من الوَرَع في أداء حقوق الخلق أعظمُ عند الله من نافلة أهل الأرض جميعًا صلاةً وصيامًا</w:t>
      </w:r>
      <w:r>
        <w:rPr>
          <w:rStyle w:val="FootnoteReference"/>
        </w:rPr>
        <w:footnoteReference w:id="3"/>
      </w:r>
      <w:r>
        <w:rPr>
          <w:rFonts w:ascii="Traditional Arabic" w:cs="Traditional Arabic" w:eastAsia="Traditional Arabic" w:hAnsi="Traditional Arabic"/>
          <w:b w:val="false"/>
          <w:bCs w:val="false"/>
          <w:i w:val="false"/>
          <w:iCs w:val="false"/>
          <w:sz w:val="28"/>
          <w:szCs w:val="28"/>
          <w:rtl/>
        </w:rPr>
        <w:t xml:space="preserve">.</w:t>
      </w:r>
    </w:p>
    <w:p>
      <w:pPr>
        <w:bidi/>
        <w:spacing w:after="180" w:line="365"/>
        <w:jc w:val="right"/>
      </w:pPr>
      <w:r>
        <w:rPr>
          <w:rFonts w:ascii="Traditional Arabic" w:cs="Traditional Arabic" w:eastAsia="Traditional Arabic" w:hAnsi="Traditional Arabic"/>
          <w:b w:val="false"/>
          <w:bCs w:val="false"/>
          <w:i w:val="false"/>
          <w:iCs w:val="false"/>
          <w:sz w:val="28"/>
          <w:szCs w:val="28"/>
          <w:rtl/>
        </w:rPr>
        <w:t xml:space="preserve">باركَ اللهُ لي ولكم بالقرآنِ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الخطبة الثانية</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الحمدُ لله وكفى، والصلاةُ والسلامُ على النبيِّ المصطفى، وعلى آلِه وصحبِه ومَن سار على دربِه وسنّتَه اقتفى.</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٣) عدمُ الوَرَع عن المال الحرام</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والمتأمّلُ في حال الناس اليوم يجد </w:t>
      </w:r>
      <w:r>
        <w:rPr>
          <w:rFonts w:ascii="Traditional Arabic" w:cs="Traditional Arabic" w:eastAsia="Traditional Arabic" w:hAnsi="Traditional Arabic"/>
          <w:b/>
          <w:bCs/>
          <w:i w:val="false"/>
          <w:iCs w:val="false"/>
          <w:sz w:val="28"/>
          <w:szCs w:val="28"/>
          <w:rtl/>
        </w:rPr>
        <w:t xml:space="preserve">تَوثُّبًا على أموال الضعفاء من العمّال والموظّفين الذين لا سندَ لهم إلا الله</w:t>
      </w:r>
      <w:r>
        <w:rPr>
          <w:rFonts w:ascii="Traditional Arabic" w:cs="Traditional Arabic" w:eastAsia="Traditional Arabic" w:hAnsi="Traditional Arabic"/>
          <w:b w:val="false"/>
          <w:bCs w:val="false"/>
          <w:i w:val="false"/>
          <w:iCs w:val="false"/>
          <w:sz w:val="28"/>
          <w:szCs w:val="28"/>
          <w:rtl/>
        </w:rPr>
        <w:t xml:space="preserve">. وحدّثني ثقةٌ قال: رأيتُ في هذه النازلة عجبًا؛ رأيتُ أناسًا كنتُ أظنُّهم أهلَ برٍّ ومساجدَ وصدقات، </w:t>
      </w:r>
      <w:r>
        <w:rPr>
          <w:rFonts w:ascii="Traditional Arabic" w:cs="Traditional Arabic" w:eastAsia="Traditional Arabic" w:hAnsi="Traditional Arabic"/>
          <w:b/>
          <w:bCs/>
          <w:i w:val="false"/>
          <w:iCs w:val="false"/>
          <w:sz w:val="28"/>
          <w:szCs w:val="28"/>
          <w:rtl/>
        </w:rPr>
        <w:t xml:space="preserve">فلمّا نزل بالأمّة ما نزل — وما نقصت أموالُهم قِيدَ شَعيرةٍ بل زادت — قاسموا الفقراءَ أموالَهم وضيّقوا على حقوق الموظّفين!</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وتأمّلوا كيف كان سيّدُ الأبرار ﷺ: </w:t>
      </w:r>
      <w:r>
        <w:rPr>
          <w:rFonts w:ascii="Traditional Arabic" w:cs="Traditional Arabic" w:eastAsia="Traditional Arabic" w:hAnsi="Traditional Arabic"/>
          <w:b/>
          <w:bCs/>
          <w:i w:val="false"/>
          <w:iCs w:val="false"/>
          <w:sz w:val="28"/>
          <w:szCs w:val="28"/>
          <w:rtl/>
        </w:rPr>
        <w:t xml:space="preserve">يمرُّ بالتمرة ساقطةً في الطريق وهو طاوٍ من الجوع، فيقول: «لولا أنّي أخاف أن تكون من الصدقة لأكلتُها»</w:t>
      </w:r>
      <w:r>
        <w:rPr>
          <w:rFonts w:ascii="Traditional Arabic" w:cs="Traditional Arabic" w:eastAsia="Traditional Arabic" w:hAnsi="Traditional Arabic"/>
          <w:b w:val="false"/>
          <w:bCs w:val="false"/>
          <w:i w:val="false"/>
          <w:iCs w:val="false"/>
          <w:sz w:val="28"/>
          <w:szCs w:val="28"/>
          <w:rtl/>
        </w:rPr>
        <w:t xml:space="preserve">. متفقٌ عليه. </w:t>
      </w:r>
      <w:r>
        <w:rPr>
          <w:rFonts w:ascii="Traditional Arabic" w:cs="Traditional Arabic" w:eastAsia="Traditional Arabic" w:hAnsi="Traditional Arabic"/>
          <w:b/>
          <w:bCs/>
          <w:i w:val="false"/>
          <w:iCs w:val="false"/>
          <w:sz w:val="28"/>
          <w:szCs w:val="28"/>
          <w:rtl/>
        </w:rPr>
        <w:t xml:space="preserve">ويرى الحسنَ ﵁ — وهو صغيرٌ — قد أخذ تمرةً من تمر الصدقة فجعلها في فيه، فقال: «كِخْ كِخْ! ارمِ بها؛ أما علمتَ أنّا لا نأكل الصدقة؟»</w:t>
      </w:r>
      <w:r>
        <w:rPr>
          <w:rFonts w:ascii="Traditional Arabic" w:cs="Traditional Arabic" w:eastAsia="Traditional Arabic" w:hAnsi="Traditional Arabic"/>
          <w:b w:val="false"/>
          <w:bCs w:val="false"/>
          <w:i w:val="false"/>
          <w:iCs w:val="false"/>
          <w:sz w:val="28"/>
          <w:szCs w:val="28"/>
          <w:rtl/>
        </w:rPr>
        <w:t xml:space="preserve"> متفقٌ عليه.</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وأُتِيَ أبو بكرٍ ﵁ بطعامٍ فأكل منه، ثم سأل غلامَه: من أين هذا؟ فقال: تكهّنتُ لإنسانٍ في الجاهليّة فأعطاني — </w:t>
      </w:r>
      <w:r>
        <w:rPr>
          <w:rFonts w:ascii="Traditional Arabic" w:cs="Traditional Arabic" w:eastAsia="Traditional Arabic" w:hAnsi="Traditional Arabic"/>
          <w:b/>
          <w:bCs/>
          <w:i w:val="false"/>
          <w:iCs w:val="false"/>
          <w:sz w:val="28"/>
          <w:szCs w:val="28"/>
          <w:rtl/>
        </w:rPr>
        <w:t xml:space="preserve">فأدخل أبو بكرٍ يدَه فقاء كلَّ شيءٍ في بطنه</w:t>
      </w:r>
      <w:r>
        <w:rPr>
          <w:rFonts w:ascii="Traditional Arabic" w:cs="Traditional Arabic" w:eastAsia="Traditional Arabic" w:hAnsi="Traditional Arabic"/>
          <w:b w:val="false"/>
          <w:bCs w:val="false"/>
          <w:i w:val="false"/>
          <w:iCs w:val="false"/>
          <w:sz w:val="28"/>
          <w:szCs w:val="28"/>
          <w:rtl/>
        </w:rPr>
        <w:t xml:space="preserve">. رواه البخاري. </w:t>
      </w:r>
      <w:r>
        <w:rPr>
          <w:rFonts w:ascii="Traditional Arabic" w:cs="Traditional Arabic" w:eastAsia="Traditional Arabic" w:hAnsi="Traditional Arabic"/>
          <w:b/>
          <w:bCs/>
          <w:i w:val="false"/>
          <w:iCs w:val="false"/>
          <w:sz w:val="28"/>
          <w:szCs w:val="28"/>
          <w:rtl/>
        </w:rPr>
        <w:t xml:space="preserve">وشرب عمرُ ﵁ لبنًا فأعجبه، فسأل: من أين لك هذا؟ فقيل: من إبل الصدقة. فأدخل يدَه فاستقاءه</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فما أحوجَ المسؤولين اليوم إلى هذه الآثار!</w:t>
      </w:r>
    </w:p>
    <w:p>
      <w:pPr>
        <w:pBdr>
          <w:top w:val="single" w:color="C0A47E" w:sz="6" w:space="8"/>
          <w:bottom w:val="single" w:color="C0A47E" w:sz="6" w:space="8"/>
          <w:left w:val="single" w:color="C0A47E" w:sz="6" w:space="8"/>
          <w:right w:val="single" w:color="C0A47E" w:sz="6" w:space="8"/>
        </w:pBdr>
        <w:shd w:fill="FBF8F3" w:val="clear"/>
        <w:bidi/>
        <w:spacing w:after="140" w:before="140" w:line="375"/>
        <w:ind w:left="288" w:right="288"/>
        <w:jc w:val="both"/>
      </w:pPr>
      <w:r>
        <w:rPr>
          <w:rFonts w:ascii="Traditional Arabic" w:cs="Traditional Arabic" w:eastAsia="Traditional Arabic" w:hAnsi="Traditional Arabic"/>
          <w:b w:val="false"/>
          <w:bCs w:val="false"/>
          <w:i w:val="false"/>
          <w:iCs w:val="false"/>
          <w:sz w:val="28"/>
          <w:szCs w:val="28"/>
          <w:rtl/>
        </w:rPr>
        <w:t xml:space="preserve">وقال حذيفةُ المَرْعَشيُّ لَمّا رأى التجّارَ يُغلِقون دكاكينهم عند الأذان ويُزاحمون في الصفّ الأوّل، فنادى بصوتٍ عالٍ: </w:t>
      </w:r>
      <w:r>
        <w:rPr>
          <w:rFonts w:ascii="Traditional Arabic" w:cs="Traditional Arabic" w:eastAsia="Traditional Arabic" w:hAnsi="Traditional Arabic"/>
          <w:b/>
          <w:bCs/>
          <w:i w:val="false"/>
          <w:iCs w:val="false"/>
          <w:sz w:val="28"/>
          <w:szCs w:val="28"/>
          <w:rtl/>
        </w:rPr>
        <w:t xml:space="preserve">يا معاشرَ التجّار! أدُّوا الحقوقَ وكُلوا الحلال، ولا يضرُّكم أنّكم صلّيتم في الصفّ الأخير</w:t>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فديننا متكامل: عباداتٌ تتعلّق بحقّ الله، ومعاملاتٌ تتعلّق بحقّ الخلق. </w:t>
      </w:r>
      <w:r>
        <w:rPr>
          <w:rFonts w:ascii="Traditional Arabic" w:cs="Traditional Arabic" w:eastAsia="Traditional Arabic" w:hAnsi="Traditional Arabic"/>
          <w:b/>
          <w:bCs/>
          <w:i w:val="false"/>
          <w:iCs w:val="false"/>
          <w:sz w:val="28"/>
          <w:szCs w:val="28"/>
          <w:rtl/>
        </w:rPr>
        <w:t xml:space="preserve">فإيّاك أن تُؤدّيَ الجزء الثاني وتُخِلَّ بالأوّل — فلا صلاةَ ولا صيام، فلا شيءَ لك. وإيّاك أن تقدَم بصلاةٍ وإحسانٍ وقد أخللتَ بالبِرّ الحقيقيّ</w:t>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bCs/>
          <w:i w:val="false"/>
          <w:iCs w:val="false"/>
          <w:sz w:val="28"/>
          <w:szCs w:val="28"/>
          <w:rtl/>
        </w:rPr>
        <w:t xml:space="preserve">أسألُ اللهَ أن يُبصِّرني وإيّاكم بمفهوم البِرِّ الحقيقيّ فنُحقِّقه، ونكون من المتّقين. اللهمّ اغفر للمسلمين والمسلمات، الأحياءِ منهم والأموات. اللهمّ آمِنّا في أوطاننا، وأصلِح واهدِ ووفِّق وُلاةَ أمورنا، واجعل هذا البلدَ آمنًا مطمئنًّا وسائرَ بلادِ المسلمين. اللهمّ احفظ أهلَنا في غزّةَ وفي عمومِ فلسطين، وانصرهم بنصرك وأيّدهم بتأييدك. ربَّنا آتِنا في الدنيا حسنةً وفي الآخرةِ حسنةً وقِنا عذابَ النار. وآخرُ دعوانا أنِ الحمدُ لله ربِّ العالمين، وصلّى اللهُ على نبيّنا محمدٍ وعلى آلِه وصحبِه أجمعين.</w:t>
      </w:r>
    </w:p>
    <w:sectPr>
      <w:headerReference w:type="default" r:id="rId7"/>
      <w:footerReference w:type="default" r:id="rId8"/>
      <w:pgSz w:w="11906" w:h="16838" w:orient="portrait"/>
      <w:pgMar w:top="1250" w:right="1350" w:bottom="1250" w:left="13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bidi/>
      <w:jc w:val="center"/>
    </w:pPr>
    <w:r>
      <w:rPr>
        <w:rFonts w:ascii="Traditional Arabic" w:cs="Traditional Arabic" w:eastAsia="Traditional Arabic" w:hAnsi="Traditional Arabic"/>
        <w:sz w:val="20"/>
        <w:szCs w:val="20"/>
        <w:rtl/>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 w:id="1">
    <w:p>
      <w:pPr>
        <w:bidi/>
        <w:jc w:val="right"/>
      </w:pPr>
      <w:r>
        <w:rPr>
          <w:rStyle w:val="FootnoteReference"/>
        </w:rPr>
        <w:footnoteRef/>
      </w:r>
      <w:r>
        <w:rPr>
          <w:rFonts w:ascii="Traditional Arabic" w:cs="Traditional Arabic" w:eastAsia="Traditional Arabic" w:hAnsi="Traditional Arabic"/>
          <w:sz w:val="20"/>
          <w:szCs w:val="20"/>
          <w:rtl/>
        </w:rPr>
        <w:t xml:space="preserve">رواه أحمد (٢/٤٤٠) والبخاري في «الأدب المفرد» (١١٩) وابن حبان والحاكم من حديث أبي هريرة ﵁، وصحّحه الألباني في «صحيح الأدب المفرد» (٩١) و«صحيح الترغيب» (٢٥٦٠) و«السلسلة الصحيحة» (١٩٠).</w:t>
      </w:r>
    </w:p>
  </w:footnote>
  <w:footnote w:id="2">
    <w:p>
      <w:pPr>
        <w:bidi/>
        <w:jc w:val="right"/>
      </w:pPr>
      <w:r>
        <w:rPr>
          <w:rStyle w:val="FootnoteReference"/>
        </w:rPr>
        <w:footnoteRef/>
      </w:r>
      <w:r>
        <w:rPr>
          <w:rFonts w:ascii="Traditional Arabic" w:cs="Traditional Arabic" w:eastAsia="Traditional Arabic" w:hAnsi="Traditional Arabic"/>
          <w:sz w:val="20"/>
          <w:szCs w:val="20"/>
          <w:rtl/>
        </w:rPr>
        <w:t xml:space="preserve">رواه أحمد والترمذي (٢٣٠٥) من حديث أبي هريرة ﵁، وحسّنه الألباني في «صحيح الجامع» (١٠٠) و«السلسلة الصحيحة» (٩٣٠) — وهو تتمّةُ حديث «اتّقِ المحارمَ تكن أعبدَ الناس».</w:t>
      </w:r>
    </w:p>
  </w:footnote>
  <w:footnote w:id="3">
    <w:p>
      <w:pPr>
        <w:bidi/>
        <w:jc w:val="right"/>
      </w:pPr>
      <w:r>
        <w:rPr>
          <w:rStyle w:val="FootnoteReference"/>
        </w:rPr>
        <w:footnoteRef/>
      </w:r>
      <w:r>
        <w:rPr>
          <w:rFonts w:ascii="Traditional Arabic" w:cs="Traditional Arabic" w:eastAsia="Traditional Arabic" w:hAnsi="Traditional Arabic"/>
          <w:sz w:val="20"/>
          <w:szCs w:val="20"/>
          <w:rtl/>
        </w:rPr>
        <w:t xml:space="preserve">أثرٌ في كتب الرقائق والزهد، يُساق للاعتبار لا للاحتجاج؛ ومعناه مستفادٌ من نصوص الشرع في تعظيم حقوق العباد، ومنها حديث المفلس المتقدّم.</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B393" w:sz="4" w:space="4"/>
      </w:pBdr>
      <w:bidi/>
      <w:jc w:val="right"/>
    </w:pPr>
    <w:r>
      <w:rPr>
        <w:rFonts w:ascii="Traditional Arabic" w:cs="Traditional Arabic" w:eastAsia="Traditional Arabic" w:hAnsi="Traditional Arabic"/>
        <w:b w:val="false"/>
        <w:bCs w:val="false"/>
        <w:i w:val="false"/>
        <w:iCs w:val="false"/>
        <w:color w:val="8A7A66"/>
        <w:sz w:val="19"/>
        <w:szCs w:val="19"/>
        <w:rtl/>
      </w:rPr>
      <w:t xml:space="preserve">البِرُّ والتقوى: مسؤوليّةٌ اجتماعيّة — خطبة الجمعة | د. عماد السواعير</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raditional Arabic" w:cs="Traditional Arabic" w:eastAsia="Traditional Arabic" w:hAnsi="Traditional Arabic"/>
        <w:sz w:val="28"/>
        <w:szCs w:val="28"/>
        <w:rtl/>
      </w:rPr>
    </w:rPrDefault>
    <w:pPrDefault>
      <w:pPr>
        <w:bidi/>
        <w:spacing w:after="130" w:line="365"/>
        <w:jc w:val="both"/>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2026-08-01T18:03:05.078Z</dcterms:created>
  <dcterms:modified xsi:type="dcterms:W3CDTF">2026-08-01T18:03:05.118Z</dcterms:modified>
</cp:coreProperties>
</file>

<file path=docProps/custom.xml><?xml version="1.0" encoding="utf-8"?>
<Properties xmlns="http://schemas.openxmlformats.org/officeDocument/2006/custom-properties" xmlns:vt="http://schemas.openxmlformats.org/officeDocument/2006/docPropsVTypes"/>
</file>