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60" w:before="200" w:line="360"/>
        <w:jc w:val="right"/>
      </w:pPr>
      <w:r>
        <w:rPr>
          <w:rFonts w:ascii="Traditional Arabic" w:cs="Traditional Arabic" w:eastAsia="Traditional Arabic" w:hAnsi="Traditional Arabic"/>
          <w:b w:val="false"/>
          <w:bCs w:val="false"/>
          <w:i w:val="false"/>
          <w:iCs w:val="false"/>
          <w:color w:val="8A6F4E"/>
          <w:sz w:val="24"/>
          <w:szCs w:val="24"/>
          <w:rtl/>
        </w:rPr>
        <w:t xml:space="preserve">الخطبة </w:t>
      </w:r>
    </w:p>
    <w:p>
      <w:pPr>
        <w:pBdr>
          <w:bottom w:val="single" w:color="5B3A29" w:sz="12" w:space="8"/>
        </w:pBdr>
        <w:bidi/>
        <w:spacing w:after="60" w:line="380"/>
        <w:jc w:val="right"/>
      </w:pPr>
      <w:r>
        <w:rPr>
          <w:rFonts w:ascii="Traditional Arabic" w:cs="Traditional Arabic" w:eastAsia="Traditional Arabic" w:hAnsi="Traditional Arabic"/>
          <w:b/>
          <w:bCs/>
          <w:i w:val="false"/>
          <w:iCs w:val="false"/>
          <w:color w:val="5B3A29"/>
          <w:sz w:val="40"/>
          <w:szCs w:val="40"/>
          <w:rtl/>
        </w:rPr>
        <w:t xml:space="preserve">﴿يُوصِيكُمُ اللَّهُ فِي أَوْلَادِكُمْ﴾</w:t>
      </w:r>
    </w:p>
    <w:p>
      <w:pPr>
        <w:bidi/>
        <w:spacing w:after="240" w:line="340"/>
        <w:jc w:val="right"/>
      </w:pPr>
      <w:r>
        <w:rPr>
          <w:rFonts w:ascii="Traditional Arabic" w:cs="Traditional Arabic" w:eastAsia="Traditional Arabic" w:hAnsi="Traditional Arabic"/>
          <w:b w:val="false"/>
          <w:bCs w:val="false"/>
          <w:i w:val="false"/>
          <w:iCs w:val="false"/>
          <w:color w:val="6B6B6B"/>
          <w:sz w:val="24"/>
          <w:szCs w:val="24"/>
          <w:rtl/>
        </w:rPr>
        <w:t xml:space="preserve">ثلاثُ مهمّاتٍ ستُسأل عنها في ذرّيّتك</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﴿يَا أَيُّهَا الَّذِينَ آمَنُوا اتَّقُوا اللَّهَ حَقَّ تُقَاتِهِ وَلَا تَمُوتُنَّ إِلَّا وَأَنتُم مُّسْلِمُونَ﴾. أمّا بعدُ، فإنّ أصدقَ الحديثِ كتابُ الله، وخيرَ الهَدْيِ هديُ محمدٍ ﷺ، وشرَّ الأمورِ محدثاتُها، وكلَّ محدثةٍ بدعة، وكلَّ بدعةٍ ضلالة، وكلَّ ضلالةٍ في النار.</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الأولى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وبعدُ، أحبتي في الله: </w:t>
      </w:r>
      <w:r>
        <w:rPr>
          <w:rFonts w:ascii="Traditional Arabic" w:cs="Traditional Arabic" w:eastAsia="Traditional Arabic" w:hAnsi="Traditional Arabic"/>
          <w:b/>
          <w:bCs/>
          <w:i w:val="false"/>
          <w:iCs w:val="false"/>
          <w:sz w:val="28"/>
          <w:szCs w:val="28"/>
          <w:rtl/>
        </w:rPr>
        <w:t xml:space="preserve">مَن هذا؟ ومَن هؤلاء؟ وماذا يفعلون به؟ إنّهم يسحبونه على وجهه! إنّهم يُلقونه في النار!</w:t>
      </w:r>
      <w:r>
        <w:rPr>
          <w:rFonts w:ascii="Traditional Arabic" w:cs="Traditional Arabic" w:eastAsia="Traditional Arabic" w:hAnsi="Traditional Arabic"/>
          <w:b w:val="false"/>
          <w:bCs w:val="false"/>
          <w:i w:val="false"/>
          <w:iCs w:val="false"/>
          <w:sz w:val="28"/>
          <w:szCs w:val="28"/>
          <w:rtl/>
        </w:rPr>
        <w:t xml:space="preserve"> فمَن هم؟ </w:t>
      </w:r>
      <w:r>
        <w:rPr>
          <w:rFonts w:ascii="Traditional Arabic" w:cs="Traditional Arabic" w:eastAsia="Traditional Arabic" w:hAnsi="Traditional Arabic"/>
          <w:b/>
          <w:bCs/>
          <w:i w:val="false"/>
          <w:iCs w:val="false"/>
          <w:sz w:val="28"/>
          <w:szCs w:val="28"/>
          <w:rtl/>
        </w:rPr>
        <w:t xml:space="preserve">إنّهم أبناؤه! إنّهم رعيّتُه! إنّهم ذرّيّتُه!</w:t>
      </w:r>
      <w:r>
        <w:rPr>
          <w:rFonts w:ascii="Traditional Arabic" w:cs="Traditional Arabic" w:eastAsia="Traditional Arabic" w:hAnsi="Traditional Arabic"/>
          <w:b w:val="false"/>
          <w:bCs w:val="false"/>
          <w:i w:val="false"/>
          <w:iCs w:val="false"/>
          <w:sz w:val="28"/>
          <w:szCs w:val="28"/>
          <w:rtl/>
        </w:rPr>
        <w:t xml:space="preserve"> يُخبرك سفيانُ أنّ العبدَ إذا فرّط في حقِّ الذرّيّة فإنّها تسحبُه على وجهه يوم القيامة ثم تُلقيه في النار.</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أخرج البخاريُّ ومسلمٌ من حديث مَعقِل بن يَسارٍ ﵁ قال ﷺ: </w:t>
      </w:r>
      <w:r>
        <w:rPr>
          <w:rFonts w:ascii="Traditional Arabic" w:cs="Traditional Arabic" w:eastAsia="Traditional Arabic" w:hAnsi="Traditional Arabic"/>
          <w:b/>
          <w:bCs/>
          <w:i w:val="false"/>
          <w:iCs w:val="false"/>
          <w:sz w:val="28"/>
          <w:szCs w:val="28"/>
          <w:rtl/>
        </w:rPr>
        <w:t xml:space="preserve">«ما من عبدٍ يسترعيه اللهُ رعيّةً، يموتُ يومَ يموتُ وهو غاشٌّ لرعيّته، إلا حرّم اللهُ عليه الجنّة»</w:t>
      </w:r>
      <w:r>
        <w:rPr>
          <w:rFonts w:ascii="Traditional Arabic" w:cs="Traditional Arabic" w:eastAsia="Traditional Arabic" w:hAnsi="Traditional Arabic"/>
          <w:b w:val="false"/>
          <w:bCs w:val="false"/>
          <w:i w:val="false"/>
          <w:iCs w:val="false"/>
          <w:sz w:val="28"/>
          <w:szCs w:val="28"/>
          <w:rtl/>
        </w:rPr>
        <w:t xml:space="preserve">. وزوجُك وذرّيّتُك من رعيّتك! </w:t>
      </w:r>
      <w:r>
        <w:rPr>
          <w:rFonts w:ascii="Traditional Arabic" w:cs="Traditional Arabic" w:eastAsia="Traditional Arabic" w:hAnsi="Traditional Arabic"/>
          <w:b/>
          <w:bCs/>
          <w:i w:val="false"/>
          <w:iCs w:val="false"/>
          <w:sz w:val="28"/>
          <w:szCs w:val="28"/>
          <w:rtl/>
        </w:rPr>
        <w:t xml:space="preserve">وقد سمّى اللهُ يومَ القيامة يومَ الحسرة — وإنّ من أعظم الحسرات حسرةَ العبد على ذرّيّته إن كان غاشًّا لها</w:t>
      </w:r>
      <w:r>
        <w:rPr>
          <w:rFonts w:ascii="Traditional Arabic" w:cs="Traditional Arabic" w:eastAsia="Traditional Arabic" w:hAnsi="Traditional Arabic"/>
          <w:b w:val="false"/>
          <w:bCs w:val="false"/>
          <w:i w:val="false"/>
          <w:iCs w:val="false"/>
          <w:sz w:val="28"/>
          <w:szCs w:val="28"/>
          <w:rtl/>
        </w:rPr>
        <w:t xml:space="preserve">. فأذكرُ لك ثلاثَ مهمّاتٍ لا نجاةَ لك إن قصّرتَ فيها.</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المهمّة الأولى: سلامةُ توحيدهم وصفاءُ عقيدتهم</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إنّنا في زمنٍ تموجُ فيه الفتنُ وتكثُر الشبهات، </w:t>
      </w:r>
      <w:r>
        <w:rPr>
          <w:rFonts w:ascii="Traditional Arabic" w:cs="Traditional Arabic" w:eastAsia="Traditional Arabic" w:hAnsi="Traditional Arabic"/>
          <w:b/>
          <w:bCs/>
          <w:i w:val="false"/>
          <w:iCs w:val="false"/>
          <w:sz w:val="28"/>
          <w:szCs w:val="28"/>
          <w:rtl/>
        </w:rPr>
        <w:t xml:space="preserve">تُرمى العقيدةُ عن قوسٍ واحدة: تارةً من أهل البدع، وتارةً من الملحدين</w:t>
      </w:r>
      <w:r>
        <w:rPr>
          <w:rFonts w:ascii="Traditional Arabic" w:cs="Traditional Arabic" w:eastAsia="Traditional Arabic" w:hAnsi="Traditional Arabic"/>
          <w:b w:val="false"/>
          <w:bCs w:val="false"/>
          <w:i w:val="false"/>
          <w:iCs w:val="false"/>
          <w:sz w:val="28"/>
          <w:szCs w:val="28"/>
          <w:rtl/>
        </w:rPr>
        <w:t xml:space="preserve">. فينبغي أن ننظر: </w:t>
      </w:r>
      <w:r>
        <w:rPr>
          <w:rFonts w:ascii="Traditional Arabic" w:cs="Traditional Arabic" w:eastAsia="Traditional Arabic" w:hAnsi="Traditional Arabic"/>
          <w:b/>
          <w:bCs/>
          <w:i w:val="false"/>
          <w:iCs w:val="false"/>
          <w:sz w:val="28"/>
          <w:szCs w:val="28"/>
          <w:rtl/>
        </w:rPr>
        <w:t xml:space="preserve">مَن الذي يعبده ولدي وولدُك؟</w:t>
      </w:r>
      <w:r>
        <w:rPr>
          <w:rFonts w:ascii="Traditional Arabic" w:cs="Traditional Arabic" w:eastAsia="Traditional Arabic" w:hAnsi="Traditional Arabic"/>
          <w:b w:val="false"/>
          <w:bCs w:val="false"/>
          <w:i w:val="false"/>
          <w:iCs w:val="false"/>
          <w:sz w:val="28"/>
          <w:szCs w:val="28"/>
          <w:rtl/>
        </w:rPr>
        <w:t xml:space="preserve"> وما مدى صفاء عقيدته؟</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وتدري ما دعوةُ أبيك إبراهيمَ ﵇؟ </w:t>
      </w:r>
      <w:r>
        <w:rPr>
          <w:rFonts w:ascii="Traditional Arabic" w:cs="Traditional Arabic" w:eastAsia="Traditional Arabic" w:hAnsi="Traditional Arabic"/>
          <w:b/>
          <w:bCs/>
          <w:i w:val="false"/>
          <w:iCs w:val="false"/>
          <w:sz w:val="28"/>
          <w:szCs w:val="28"/>
          <w:rtl/>
        </w:rPr>
        <w:t xml:space="preserve">﴿وَاجْنُبْنِي وَبَنِيَّ أَن نَّعْبُدَ الْأَصْنَامَ﴾</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فأسألُك بالله: هل سألتَ اللهَ مرّةً واحدةً أن يُجنِّبَ ذرّيّتَك عبادةَ الأصنام؟</w:t>
      </w:r>
      <w:r>
        <w:rPr>
          <w:rFonts w:ascii="Traditional Arabic" w:cs="Traditional Arabic" w:eastAsia="Traditional Arabic" w:hAnsi="Traditional Arabic"/>
          <w:b w:val="false"/>
          <w:bCs w:val="false"/>
          <w:i w:val="false"/>
          <w:iCs w:val="false"/>
          <w:sz w:val="28"/>
          <w:szCs w:val="28"/>
          <w:rtl/>
        </w:rPr>
        <w:t xml:space="preserve"> أم أنّ العقيدة صارت حِكرًا على طائفةٍ من العلماء؟</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ويعقوبُ ﵇ لمّا حضرته المنيّة، ماذا قال لذرّيّته؟ أعن الضَّيعة والدار والأرض؟ </w:t>
      </w:r>
      <w:r>
        <w:rPr>
          <w:rFonts w:ascii="Traditional Arabic" w:cs="Traditional Arabic" w:eastAsia="Traditional Arabic" w:hAnsi="Traditional Arabic"/>
          <w:b/>
          <w:bCs/>
          <w:i w:val="false"/>
          <w:iCs w:val="false"/>
          <w:sz w:val="28"/>
          <w:szCs w:val="28"/>
          <w:rtl/>
        </w:rPr>
        <w:t xml:space="preserve">كلّا وربّي، بل قال: ﴿مَا تَعْبُدُونَ مِن بَعْدِي﴾</w:t>
      </w:r>
      <w:r>
        <w:rPr>
          <w:rFonts w:ascii="Traditional Arabic" w:cs="Traditional Arabic" w:eastAsia="Traditional Arabic" w:hAnsi="Traditional Arabic"/>
          <w:b w:val="false"/>
          <w:bCs w:val="false"/>
          <w:i w:val="false"/>
          <w:iCs w:val="false"/>
          <w:sz w:val="28"/>
          <w:szCs w:val="28"/>
          <w:rtl/>
        </w:rPr>
        <w:t xml:space="preserve">! وقد كان النبيُّ ﷺ يُربّي ذرّيّةَ الصحابة، فيقول لغلامٍ أردفه خلفه: </w:t>
      </w:r>
      <w:r>
        <w:rPr>
          <w:rFonts w:ascii="Traditional Arabic" w:cs="Traditional Arabic" w:eastAsia="Traditional Arabic" w:hAnsi="Traditional Arabic"/>
          <w:b/>
          <w:bCs/>
          <w:i w:val="false"/>
          <w:iCs w:val="false"/>
          <w:sz w:val="28"/>
          <w:szCs w:val="28"/>
          <w:rtl/>
        </w:rPr>
        <w:t xml:space="preserve">«يا غلام، إنّي أُعلِّمك كلماتٍ: احفَظِ اللهَ يحفَظْك، احفَظِ اللهَ تجِدْه تجاهك؛ وإذا سألتَ فاسألِ الله، وإذا استعنتَ فاستعِنْ بالله»</w:t>
      </w:r>
      <w:r>
        <w:rPr>
          <w:rStyle w:val="FootnoteReference"/>
        </w:rPr>
        <w:footnoteReference w:id="7"/>
      </w:r>
      <w:r>
        <w:rPr>
          <w:rFonts w:ascii="Traditional Arabic" w:cs="Traditional Arabic" w:eastAsia="Traditional Arabic" w:hAnsi="Traditional Arabic"/>
          <w:b w:val="false"/>
          <w:bCs w:val="false"/>
          <w:i w:val="false"/>
          <w:iCs w:val="false"/>
          <w:sz w:val="28"/>
          <w:szCs w:val="28"/>
          <w:rtl/>
        </w:rPr>
        <w:t xml:space="preserve">.</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المهمّة الثانية: الصلاة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الصلاةُ الصلاةُ — آخِرُ وصيّة رسول الله ﷺ. </w:t>
      </w:r>
      <w:r>
        <w:rPr>
          <w:rFonts w:ascii="Traditional Arabic" w:cs="Traditional Arabic" w:eastAsia="Traditional Arabic" w:hAnsi="Traditional Arabic"/>
          <w:b/>
          <w:bCs/>
          <w:i w:val="false"/>
          <w:iCs w:val="false"/>
          <w:sz w:val="28"/>
          <w:szCs w:val="28"/>
          <w:rtl/>
        </w:rPr>
        <w:t xml:space="preserve">أتسألُ عن صلاة ابنك وابنتك؟</w:t>
      </w:r>
      <w:r>
        <w:rPr>
          <w:rFonts w:ascii="Traditional Arabic" w:cs="Traditional Arabic" w:eastAsia="Traditional Arabic" w:hAnsi="Traditional Arabic"/>
          <w:b w:val="false"/>
          <w:bCs w:val="false"/>
          <w:i w:val="false"/>
          <w:iCs w:val="false"/>
          <w:sz w:val="28"/>
          <w:szCs w:val="28"/>
          <w:rtl/>
        </w:rPr>
        <w:t xml:space="preserve"> أم أنّ الصلاة لا محلَّ لها في سُلَّم أولويّاتك، </w:t>
      </w:r>
      <w:r>
        <w:rPr>
          <w:rFonts w:ascii="Traditional Arabic" w:cs="Traditional Arabic" w:eastAsia="Traditional Arabic" w:hAnsi="Traditional Arabic"/>
          <w:b/>
          <w:bCs/>
          <w:i w:val="false"/>
          <w:iCs w:val="false"/>
          <w:sz w:val="28"/>
          <w:szCs w:val="28"/>
          <w:rtl/>
        </w:rPr>
        <w:t xml:space="preserve">بينما تسألُ عن استيقاظه للجامعة وللعمل؟!</w:t>
      </w:r>
      <w:r>
        <w:rPr>
          <w:rFonts w:ascii="Traditional Arabic" w:cs="Traditional Arabic" w:eastAsia="Traditional Arabic" w:hAnsi="Traditional Arabic"/>
          <w:b w:val="false"/>
          <w:bCs w:val="false"/>
          <w:i w:val="false"/>
          <w:iCs w:val="false"/>
          <w:sz w:val="28"/>
          <w:szCs w:val="28"/>
          <w:rtl/>
        </w:rPr>
        <w:t xml:space="preserve"> والرحيمُ ﷺ يقول: </w:t>
      </w:r>
      <w:r>
        <w:rPr>
          <w:rFonts w:ascii="Traditional Arabic" w:cs="Traditional Arabic" w:eastAsia="Traditional Arabic" w:hAnsi="Traditional Arabic"/>
          <w:b/>
          <w:bCs/>
          <w:i w:val="false"/>
          <w:iCs w:val="false"/>
          <w:sz w:val="28"/>
          <w:szCs w:val="28"/>
          <w:rtl/>
        </w:rPr>
        <w:t xml:space="preserve">«مُروا أولادَكم بالصلاة وهم أبناءُ سبع، واضربوهم عليها وهم أبناءُ عشر، وفرِّقوا بينهم في المضاجع»</w:t>
      </w:r>
      <w:r>
        <w:rPr>
          <w:rStyle w:val="FootnoteReference"/>
        </w:rPr>
        <w:footnoteReference w:id="8"/>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وخبرٌ أُحبُّه: قال ابنُ أبي قِرصافة: </w:t>
      </w:r>
      <w:r>
        <w:rPr>
          <w:rFonts w:ascii="Traditional Arabic" w:cs="Traditional Arabic" w:eastAsia="Traditional Arabic" w:hAnsi="Traditional Arabic"/>
          <w:b/>
          <w:bCs/>
          <w:i w:val="false"/>
          <w:iCs w:val="false"/>
          <w:sz w:val="28"/>
          <w:szCs w:val="28"/>
          <w:rtl/>
        </w:rPr>
        <w:t xml:space="preserve">دخلتُ سجنَ عسقلانَ سبعَ سنين لا تدخله الشمس، فما فاتتني صلاةٌ في وقتها!</w:t>
      </w:r>
      <w:r>
        <w:rPr>
          <w:rFonts w:ascii="Traditional Arabic" w:cs="Traditional Arabic" w:eastAsia="Traditional Arabic" w:hAnsi="Traditional Arabic"/>
          <w:b w:val="false"/>
          <w:bCs w:val="false"/>
          <w:i w:val="false"/>
          <w:iCs w:val="false"/>
          <w:sz w:val="28"/>
          <w:szCs w:val="28"/>
          <w:rtl/>
        </w:rPr>
        <w:t xml:space="preserve"> قيل: وكيف ذلك؟ قال: </w:t>
      </w:r>
      <w:r>
        <w:rPr>
          <w:rFonts w:ascii="Traditional Arabic" w:cs="Traditional Arabic" w:eastAsia="Traditional Arabic" w:hAnsi="Traditional Arabic"/>
          <w:b/>
          <w:bCs/>
          <w:i w:val="false"/>
          <w:iCs w:val="false"/>
          <w:sz w:val="28"/>
          <w:szCs w:val="28"/>
          <w:rtl/>
        </w:rPr>
        <w:t xml:space="preserve">كان أبي يصعدُ على سورٍ في وقت كلِّ صلاةٍ فينادي: يا بنيَّ، دخل وقتُ الفجر فقُمْ فصلِّ… يا بنيَّ، دخل وقتُ الظهر…</w:t>
      </w:r>
      <w:r>
        <w:rPr>
          <w:rStyle w:val="FootnoteReference"/>
        </w:rPr>
        <w:footnoteReference w:id="9"/>
      </w:r>
      <w:r>
        <w:rPr>
          <w:rFonts w:ascii="Traditional Arabic" w:cs="Traditional Arabic" w:eastAsia="Traditional Arabic" w:hAnsi="Traditional Arabic"/>
          <w:b w:val="false"/>
          <w:bCs w:val="false"/>
          <w:i w:val="false"/>
          <w:iCs w:val="false"/>
          <w:sz w:val="28"/>
          <w:szCs w:val="28"/>
          <w:rtl/>
        </w:rPr>
        <w:t xml:space="preserve"> فكم صلاةً ضيّعها أولادُك وأنت ترى وتُشاهد؟</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ولذلك أقول: </w:t>
      </w:r>
      <w:r>
        <w:rPr>
          <w:rFonts w:ascii="Traditional Arabic" w:cs="Traditional Arabic" w:eastAsia="Traditional Arabic" w:hAnsi="Traditional Arabic"/>
          <w:b/>
          <w:bCs/>
          <w:i w:val="false"/>
          <w:iCs w:val="false"/>
          <w:sz w:val="28"/>
          <w:szCs w:val="28"/>
          <w:rtl/>
        </w:rPr>
        <w:t xml:space="preserve">إن لم تأمُرْ ولدَك بالصلاة وهو ابنُ سبع، فإنّك أنت تستحقُّ الضربَ وأنت ابنُ الأربعين!</w:t>
      </w:r>
    </w:p>
    <w:p>
      <w:pPr>
        <w:bidi/>
        <w:spacing w:after="180" w:line="365"/>
        <w:jc w:val="right"/>
      </w:pPr>
      <w:r>
        <w:rPr>
          <w:rFonts w:ascii="Traditional Arabic" w:cs="Traditional Arabic" w:eastAsia="Traditional Arabic" w:hAnsi="Traditional Arabic"/>
          <w:b w:val="false"/>
          <w:bCs w:val="false"/>
          <w:i w:val="false"/>
          <w:iCs w:val="false"/>
          <w:sz w:val="28"/>
          <w:szCs w:val="28"/>
          <w:rtl/>
        </w:rPr>
        <w:t xml:space="preserve">باركَ اللهُ لي ولكم بالقرآنِ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الثانية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الحمدُ لله وكفى، والصلاةُ والسلامُ على النبيِّ المصطفى، وعلى آلِه وصحبِه ومَن سار على دربِه وسنّتَه اقتفى.</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المهمّة الثالثة: الأخلاق</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مُرْ ولدَك بمحاسن الأخلاق، </w:t>
      </w:r>
      <w:r>
        <w:rPr>
          <w:rFonts w:ascii="Traditional Arabic" w:cs="Traditional Arabic" w:eastAsia="Traditional Arabic" w:hAnsi="Traditional Arabic"/>
          <w:b/>
          <w:bCs/>
          <w:i w:val="false"/>
          <w:iCs w:val="false"/>
          <w:sz w:val="28"/>
          <w:szCs w:val="28"/>
          <w:rtl/>
        </w:rPr>
        <w:t xml:space="preserve">ولا تترك أصحابَ السوء والشوارعَ تُربّيهم على المخدّرات والرذيلة</w:t>
      </w:r>
      <w:r>
        <w:rPr>
          <w:rFonts w:ascii="Traditional Arabic" w:cs="Traditional Arabic" w:eastAsia="Traditional Arabic" w:hAnsi="Traditional Arabic"/>
          <w:b w:val="false"/>
          <w:bCs w:val="false"/>
          <w:i w:val="false"/>
          <w:iCs w:val="false"/>
          <w:sz w:val="28"/>
          <w:szCs w:val="28"/>
          <w:rtl/>
        </w:rPr>
        <w:t xml:space="preserve">. فإنّنا مسؤولون يوم القيامة عن أخلاق أبنائنا.</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أيها المسلم: </w:t>
      </w:r>
      <w:r>
        <w:rPr>
          <w:rFonts w:ascii="Traditional Arabic" w:cs="Traditional Arabic" w:eastAsia="Traditional Arabic" w:hAnsi="Traditional Arabic"/>
          <w:b/>
          <w:bCs/>
          <w:i w:val="false"/>
          <w:iCs w:val="false"/>
          <w:sz w:val="28"/>
          <w:szCs w:val="28"/>
          <w:rtl/>
        </w:rPr>
        <w:t xml:space="preserve">أنت مسؤولٌ عن طعام ابنتك وشرابها — وأنت كذلك مسؤولٌ عن لباسها</w:t>
      </w:r>
      <w:r>
        <w:rPr>
          <w:rFonts w:ascii="Traditional Arabic" w:cs="Traditional Arabic" w:eastAsia="Traditional Arabic" w:hAnsi="Traditional Arabic"/>
          <w:b w:val="false"/>
          <w:bCs w:val="false"/>
          <w:i w:val="false"/>
          <w:iCs w:val="false"/>
          <w:sz w:val="28"/>
          <w:szCs w:val="28"/>
          <w:rtl/>
        </w:rPr>
        <w:t xml:space="preserve">؛ وكما أنّ في عنقك رسومَ جامعتها، ففي عنقك حجابُها. </w:t>
      </w:r>
      <w:r>
        <w:rPr>
          <w:rFonts w:ascii="Traditional Arabic" w:cs="Traditional Arabic" w:eastAsia="Traditional Arabic" w:hAnsi="Traditional Arabic"/>
          <w:b/>
          <w:bCs/>
          <w:i w:val="false"/>
          <w:iCs w:val="false"/>
          <w:sz w:val="28"/>
          <w:szCs w:val="28"/>
          <w:rtl/>
        </w:rPr>
        <w:t xml:space="preserve">وإنّنا في زمانٍ يُطعِمُ الرجلُ ويسقي ويدفعُ الرسوم، وأمّا ما وراء ذلك فلا يحلُّ له السؤال!</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يا مسلم: </w:t>
      </w:r>
      <w:r>
        <w:rPr>
          <w:rFonts w:ascii="Traditional Arabic" w:cs="Traditional Arabic" w:eastAsia="Traditional Arabic" w:hAnsi="Traditional Arabic"/>
          <w:b/>
          <w:bCs/>
          <w:i w:val="false"/>
          <w:iCs w:val="false"/>
          <w:sz w:val="28"/>
          <w:szCs w:val="28"/>
          <w:rtl/>
        </w:rPr>
        <w:t xml:space="preserve">إنّ تلك المتبرّجةَ خرجت من بيت مسلم — وسيُسأل الأبُ وستُسأل الأمُّ يوم القيامة</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فعزِّزِ الفضيلةَ: ربِّ ولدَك على أنّ الزنا فاحشةٌ وساء سبيلًا، وعلى غضِّ البصر، وعلى الصدق والأمانة. </w:t>
      </w:r>
      <w:r>
        <w:rPr>
          <w:rFonts w:ascii="Traditional Arabic" w:cs="Traditional Arabic" w:eastAsia="Traditional Arabic" w:hAnsi="Traditional Arabic"/>
          <w:b/>
          <w:bCs/>
          <w:i w:val="false"/>
          <w:iCs w:val="false"/>
          <w:sz w:val="28"/>
          <w:szCs w:val="28"/>
          <w:rtl/>
        </w:rPr>
        <w:t xml:space="preserve">أمّا أن يكبُر فيصير — لا قدّر الله — مدمنًا أو تاركًا لدينه، ثم تلومَ ذلك الولد؟</w:t>
      </w:r>
      <w:r>
        <w:rPr>
          <w:rFonts w:ascii="Traditional Arabic" w:cs="Traditional Arabic" w:eastAsia="Traditional Arabic" w:hAnsi="Traditional Arabic"/>
          <w:b w:val="false"/>
          <w:bCs w:val="false"/>
          <w:i w:val="false"/>
          <w:iCs w:val="false"/>
          <w:sz w:val="28"/>
          <w:szCs w:val="28"/>
          <w:rtl/>
        </w:rPr>
        <w:t xml:space="preserve"> كلّا وربّي، بل يصدُق فيك قولُ القائل:</w:t>
      </w:r>
    </w:p>
    <w:p>
      <w:pPr>
        <w:bidi/>
        <w:spacing w:after="130" w:line="365"/>
        <w:jc w:val="center"/>
      </w:pPr>
      <w:r>
        <w:rPr>
          <w:rFonts w:ascii="Traditional Arabic" w:cs="Traditional Arabic" w:eastAsia="Traditional Arabic" w:hAnsi="Traditional Arabic"/>
          <w:b/>
          <w:bCs/>
          <w:i w:val="false"/>
          <w:iCs w:val="false"/>
          <w:sz w:val="28"/>
          <w:szCs w:val="28"/>
          <w:rtl/>
        </w:rPr>
        <w:t xml:space="preserve">أَلْقاهُ في اليَمِّ مَكتوفًا وقال لَهُ ••• إيّاكَ إيّاكَ أن تَبتَلَّ بالماءِ</w:t>
      </w:r>
    </w:p>
    <w:p>
      <w:pPr>
        <w:bidi/>
        <w:spacing w:after="130" w:line="365"/>
        <w:jc w:val="both"/>
      </w:pPr>
      <w:r>
        <w:rPr>
          <w:rFonts w:ascii="Traditional Arabic" w:cs="Traditional Arabic" w:eastAsia="Traditional Arabic" w:hAnsi="Traditional Arabic"/>
          <w:b/>
          <w:bCs/>
          <w:i w:val="false"/>
          <w:iCs w:val="false"/>
          <w:sz w:val="28"/>
          <w:szCs w:val="28"/>
          <w:rtl/>
        </w:rPr>
        <w:t xml:space="preserve">سلّم اللهُ لنا ذرّيّاتِنا، وصحّح عقائدَنا وأخلاقَنا، وأقام صلاتَنا. اللهمّ اغفر للمسلمين والمسلمات، الأحياءِ منهم والأموات. اللهمّ آمِنّا في أوطاننا، وأصلِح واهدِ ووفِّق وُلاةَ أمورنا، واجعل هذا البلدَ آمنًا مطمئنًّا وسائرَ بلادِ المسلمين. اللهمّ احفظ أهلَنا في غزّةَ وفي عمومِ فلسطين، وانصرهم بنصرك وأيّدهم بتأييدك. ربَّنا آتِنا في الدنيا حسنةً وفي الآخرةِ حسنةً وقِنا عذابَ النار. وآخرُ دعوانا أنِ الحمدُ لله ربِّ العالمين، وصلّى اللهُ على نبيّنا محمدٍ وعلى آلِه وصحبِه أجمعين.</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jc w:val="center"/>
    </w:pPr>
    <w:r>
      <w:rPr>
        <w:rFonts w:ascii="Traditional Arabic" w:cs="Traditional Arabic" w:eastAsia="Traditional Arabic" w:hAnsi="Traditional Arabic"/>
        <w:sz w:val="20"/>
        <w:szCs w:val="20"/>
        <w:rtl/>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أصلُ القصّة عند الترمذي (١٦٩٢) والنسائي وأحمد، وحسّنه الألباني في «صحيح سنن الترمذي». وثباتُ طلحة ﵁ ووقايتُه النبيَّ ﷺ بيده ثابتٌ في «الصحيحين» من حديث قيس بن أبي حازم عن أبي بكر ﵁ قال: «فرأيتُ طلحةَ مشلولةَ الأصابع».</w:t>
      </w:r>
    </w:p>
  </w:footnote>
  <w:footnote w:id="2">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خبرٌ مشهور في كتب السيرة والتراجم؛ ذكره ابن سعد في «الطبقات» وأبو نعيم في «الحلية» وابن عبد البرّ في «الاستيعاب». وهو من أخبار السِّيَر يُتسامح في أسانيدها، ولم أقف على حكمٍ لإمامٍ عليه بعينه في كتب الشيخ الألباني الحاضرة.</w:t>
      </w:r>
    </w:p>
  </w:footnote>
  <w:footnote w:id="3">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ثابتٌ في «صحيح البخاري» في تفسير سورة نوح عن ابن عباس ﵄.</w:t>
      </w:r>
    </w:p>
  </w:footnote>
  <w:footnote w:id="4">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ابن عساكر وغيره، وقد ضعّفه الألباني في «ضعيف الجامع» (٦٢٩١) و«السلسلة الضعيفة» (١٤٥٨). فيُذكر على أنّه مثلٌ سائرٌ لا حديثٌ ثابت، ومعناه الصحيح مستفادٌ من قوله ﷺ: «خيرُكم خيرُكم لأهله» رواه الترمذي وصحّحه الألباني.</w:t>
      </w:r>
    </w:p>
  </w:footnote>
  <w:footnote w:id="5">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الترمذي (٢٣٤٦) وابن ماجه (٤١٤١) من حديث عبيد الله بن مِحصَن ﵁، وحسّنه الألباني في «صحيح الجامع» (٦٠٤٢) و«السلسلة الصحيحة» (٢٣١٨).</w:t>
      </w:r>
    </w:p>
  </w:footnote>
  <w:footnote w:id="6">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الترمذي (٢٣٩٦) وابن ماجه (٤٠٣١) من حديث أنسٍ ﵁، وحسّنه الألباني في «صحيح الجامع» (٢١١٠) و«السلسلة الصحيحة» (١٤٦).</w:t>
      </w:r>
    </w:p>
  </w:footnote>
  <w:footnote w:id="7">
    <w:p>
      <w:pPr>
        <w:bidi/>
        <w:jc w:val="right"/>
      </w:pPr>
      <w:r>
        <w:rPr>
          <w:rStyle w:val="FootnoteReference"/>
        </w:rPr>
        <w:footnoteRef/>
      </w:r>
      <w:r>
        <w:rPr>
          <w:rFonts w:ascii="Traditional Arabic" w:cs="Traditional Arabic" w:eastAsia="Traditional Arabic" w:hAnsi="Traditional Arabic"/>
          <w:sz w:val="20"/>
          <w:szCs w:val="20"/>
          <w:rtl/>
        </w:rPr>
        <w:t xml:space="preserve">رواه الترمذي (٢٥١٦) وأحمد من حديث ابن عباس ﵄. قال الترمذي: «حسنٌ صحيح»، وصحّحه الألباني في «صحيح الجامع» (٧٩٥٧) و«ظلال الجنّة» (٣١٦).</w:t>
      </w:r>
    </w:p>
  </w:footnote>
  <w:footnote w:id="8">
    <w:p>
      <w:pPr>
        <w:bidi/>
        <w:jc w:val="right"/>
      </w:pPr>
      <w:r>
        <w:rPr>
          <w:rStyle w:val="FootnoteReference"/>
        </w:rPr>
        <w:footnoteRef/>
      </w:r>
      <w:r>
        <w:rPr>
          <w:rFonts w:ascii="Traditional Arabic" w:cs="Traditional Arabic" w:eastAsia="Traditional Arabic" w:hAnsi="Traditional Arabic"/>
          <w:sz w:val="20"/>
          <w:szCs w:val="20"/>
          <w:rtl/>
        </w:rPr>
        <w:t xml:space="preserve">رواه أبو داود (٤٩٥) وأحمد والحاكم من حديث عمرو بن شعيب عن أبيه عن جدّه، وحسّنه الألباني في «صحيح أبي داود» (٥٠٩) و«الإرواء» (٢٤٧).</w:t>
      </w:r>
    </w:p>
  </w:footnote>
  <w:footnote w:id="9">
    <w:p>
      <w:pPr>
        <w:bidi/>
        <w:jc w:val="right"/>
      </w:pPr>
      <w:r>
        <w:rPr>
          <w:rStyle w:val="FootnoteReference"/>
        </w:rPr>
        <w:footnoteRef/>
      </w:r>
      <w:r>
        <w:rPr>
          <w:rFonts w:ascii="Traditional Arabic" w:cs="Traditional Arabic" w:eastAsia="Traditional Arabic" w:hAnsi="Traditional Arabic"/>
          <w:sz w:val="20"/>
          <w:szCs w:val="20"/>
          <w:rtl/>
        </w:rPr>
        <w:t xml:space="preserve">خبرٌ في كتب التراجم والرقائق، لا يصحُّ رفعُه ولا يُبنى عليه حكم، وإنما يُساق للاعتبار.</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B393" w:sz="4" w:space="4"/>
      </w:pBdr>
      <w:bidi/>
      <w:jc w:val="right"/>
    </w:pPr>
    <w:r>
      <w:rPr>
        <w:rFonts w:ascii="Traditional Arabic" w:cs="Traditional Arabic" w:eastAsia="Traditional Arabic" w:hAnsi="Traditional Arabic"/>
        <w:b w:val="false"/>
        <w:bCs w:val="false"/>
        <w:i w:val="false"/>
        <w:iCs w:val="false"/>
        <w:color w:val="8A7A66"/>
        <w:sz w:val="19"/>
        <w:szCs w:val="19"/>
        <w:rtl/>
      </w:rPr>
      <w:t xml:space="preserve">﴿يُوصِيكُمُ اللَّهُ فِي أَوْلَادِكُمْ﴾ — خطبة الجمعة | د. عماد السواعير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8"/>
        <w:szCs w:val="28"/>
        <w:rtl/>
      </w:rPr>
    </w:rPrDefault>
    <w:pPrDefault>
      <w:pPr>
        <w:bidi/>
        <w:spacing w:after="130" w:line="365"/>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2026-08-01T16:31:57.432Z</dcterms:created>
  <dcterms:modified xsi:type="dcterms:W3CDTF">2026-08-01T16:31:57.432Z</dcterms:modified>
</cp:coreProperties>
</file>

<file path=docProps/custom.xml><?xml version="1.0" encoding="utf-8"?>
<Properties xmlns="http://schemas.openxmlformats.org/officeDocument/2006/custom-properties" xmlns:vt="http://schemas.openxmlformats.org/officeDocument/2006/docPropsVTypes"/>
</file>