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 w:before="200" w:line="360"/>
        <w:jc w:val="right"/>
      </w:pPr>
      <w:r>
        <w:rPr>
          <w:rFonts w:ascii="Traditional Arabic" w:cs="Traditional Arabic" w:eastAsia="Traditional Arabic" w:hAnsi="Traditional Arabic"/>
          <w:b w:val="false"/>
          <w:bCs w:val="false"/>
          <w:i w:val="false"/>
          <w:iCs w:val="false"/>
          <w:color w:val="8A6F4E"/>
          <w:sz w:val="24"/>
          <w:szCs w:val="24"/>
          <w:rtl/>
        </w:rPr>
        <w:t xml:space="preserve">الخطبة </w:t>
      </w:r>
    </w:p>
    <w:p>
      <w:pPr>
        <w:pBdr>
          <w:bottom w:val="single" w:color="5B3A29" w:sz="12" w:space="8"/>
        </w:pBdr>
        <w:bidi/>
        <w:spacing w:after="60" w:line="380"/>
        <w:jc w:val="right"/>
      </w:pPr>
      <w:r>
        <w:rPr>
          <w:rFonts w:ascii="Traditional Arabic" w:cs="Traditional Arabic" w:eastAsia="Traditional Arabic" w:hAnsi="Traditional Arabic"/>
          <w:b/>
          <w:bCs/>
          <w:i w:val="false"/>
          <w:iCs w:val="false"/>
          <w:color w:val="5B3A29"/>
          <w:sz w:val="40"/>
          <w:szCs w:val="40"/>
          <w:rtl/>
        </w:rPr>
        <w:t xml:space="preserve">الصلاة</w:t>
      </w:r>
    </w:p>
    <w:p>
      <w:pPr>
        <w:bidi/>
        <w:spacing w:after="240" w:line="340"/>
        <w:jc w:val="right"/>
      </w:pPr>
      <w:r>
        <w:rPr>
          <w:rFonts w:ascii="Traditional Arabic" w:cs="Traditional Arabic" w:eastAsia="Traditional Arabic" w:hAnsi="Traditional Arabic"/>
          <w:b w:val="false"/>
          <w:bCs w:val="false"/>
          <w:i w:val="false"/>
          <w:iCs w:val="false"/>
          <w:color w:val="6B6B6B"/>
          <w:sz w:val="24"/>
          <w:szCs w:val="24"/>
          <w:rtl/>
        </w:rPr>
        <w:t xml:space="preserve">رسالةٌ لتارك الصلاة — مَن هذا الذي يُحشَر مع فرعون؟</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﴿يَا أَيُّهَا الَّذِينَ آمَنُوا اتَّقُوا اللَّهَ حَقَّ تُقَاتِهِ وَلَا تَمُوتُنَّ إِلَّا وَأَنتُم مُّسْلِمُونَ﴾. أمّا بعدُ، فإنّ أصدقَ الحديثِ كتابُ الله، وخيرَ الهَدْيِ هديُ محمدٍ ﷺ، وشرَّ الأمورِ محدثاتُها، وكلَّ محدثةٍ بدعة، وكلَّ بدعةٍ ضلالة، وكلَّ ضلالةٍ في النار.</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الأولى</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وبعدُ، أحبتي في الله: </w:t>
      </w:r>
      <w:r>
        <w:rPr>
          <w:rFonts w:ascii="Traditional Arabic" w:cs="Traditional Arabic" w:eastAsia="Traditional Arabic" w:hAnsi="Traditional Arabic"/>
          <w:b/>
          <w:bCs/>
          <w:i w:val="false"/>
          <w:iCs w:val="false"/>
          <w:sz w:val="28"/>
          <w:szCs w:val="28"/>
          <w:rtl/>
        </w:rPr>
        <w:t xml:space="preserve">إنّها قُرّةُ عيون الموحّدين، يفزع إليها المتّقون؛ هي الكتابُ الموقوت، لا تسقط عنك بحالٍ ما دامت الأنفاسُ تدخل وتخرج</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وحديثي اليومَ غريبٌ عجيب؛ لو تصوّره سلَفُنا لأنكروا علينا مقالتنا — إذ لا يُعقَل أن يُفرِّط في حقّها مسلمٌ ينتسب للإيمان!</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أولًا: حكمُ تركها</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اعلم يا مسلم </w:t>
      </w:r>
      <w:r>
        <w:rPr>
          <w:rFonts w:ascii="Traditional Arabic" w:cs="Traditional Arabic" w:eastAsia="Traditional Arabic" w:hAnsi="Traditional Arabic"/>
          <w:b/>
          <w:bCs/>
          <w:i w:val="false"/>
          <w:iCs w:val="false"/>
          <w:sz w:val="28"/>
          <w:szCs w:val="28"/>
          <w:rtl/>
        </w:rPr>
        <w:t xml:space="preserve">أنّ تركَ الصلاة كفر</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وكفى بالذنب شؤمًا وعارًا أن يُوصَف فاعلُه بالكفر!</w:t>
      </w:r>
      <w:r>
        <w:rPr>
          <w:rFonts w:ascii="Traditional Arabic" w:cs="Traditional Arabic" w:eastAsia="Traditional Arabic" w:hAnsi="Traditional Arabic"/>
          <w:b w:val="false"/>
          <w:bCs w:val="false"/>
          <w:i w:val="false"/>
          <w:iCs w:val="false"/>
          <w:sz w:val="28"/>
          <w:szCs w:val="28"/>
          <w:rtl/>
        </w:rPr>
        <w:t xml:space="preserve"> والدليل قولُ ربّنا: </w:t>
      </w:r>
      <w:r>
        <w:rPr>
          <w:rFonts w:ascii="Traditional Arabic" w:cs="Traditional Arabic" w:eastAsia="Traditional Arabic" w:hAnsi="Traditional Arabic"/>
          <w:b/>
          <w:bCs/>
          <w:i w:val="false"/>
          <w:iCs w:val="false"/>
          <w:sz w:val="28"/>
          <w:szCs w:val="28"/>
          <w:rtl/>
        </w:rPr>
        <w:t xml:space="preserve">﴿وَأَقِيمُوا الصَّلَاةَ وَلَا تَكُونُوا مِنَ الْمُشْرِكِينَ﴾</w:t>
      </w:r>
      <w:r>
        <w:rPr>
          <w:rFonts w:ascii="Traditional Arabic" w:cs="Traditional Arabic" w:eastAsia="Traditional Arabic" w:hAnsi="Traditional Arabic"/>
          <w:b w:val="false"/>
          <w:bCs w:val="false"/>
          <w:i w:val="false"/>
          <w:iCs w:val="false"/>
          <w:sz w:val="28"/>
          <w:szCs w:val="28"/>
          <w:rtl/>
        </w:rPr>
        <w:t xml:space="preserve">.</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وأخرج مسلمٌ في «صحيحه» عن جابر بن عبد الله ﵄ قال ﷺ: </w:t>
      </w:r>
      <w:r>
        <w:rPr>
          <w:rFonts w:ascii="Traditional Arabic" w:cs="Traditional Arabic" w:eastAsia="Traditional Arabic" w:hAnsi="Traditional Arabic"/>
          <w:b/>
          <w:bCs/>
          <w:i w:val="false"/>
          <w:iCs w:val="false"/>
          <w:sz w:val="28"/>
          <w:szCs w:val="28"/>
          <w:rtl/>
        </w:rPr>
        <w:t xml:space="preserve">«بين الرجل وبين الشرك والكفر تركُ الصلاة»</w:t>
      </w:r>
      <w:r>
        <w:rPr>
          <w:rFonts w:ascii="Traditional Arabic" w:cs="Traditional Arabic" w:eastAsia="Traditional Arabic" w:hAnsi="Traditional Arabic"/>
          <w:b w:val="false"/>
          <w:bCs w:val="false"/>
          <w:i w:val="false"/>
          <w:iCs w:val="false"/>
          <w:sz w:val="28"/>
          <w:szCs w:val="28"/>
          <w:rtl/>
        </w:rPr>
        <w:t xml:space="preserve">. وأخرج الترمذي من حديث بُريدةَ ﵁: </w:t>
      </w:r>
      <w:r>
        <w:rPr>
          <w:rFonts w:ascii="Traditional Arabic" w:cs="Traditional Arabic" w:eastAsia="Traditional Arabic" w:hAnsi="Traditional Arabic"/>
          <w:b/>
          <w:bCs/>
          <w:i w:val="false"/>
          <w:iCs w:val="false"/>
          <w:sz w:val="28"/>
          <w:szCs w:val="28"/>
          <w:rtl/>
        </w:rPr>
        <w:t xml:space="preserve">«العهدُ الذي بيننا وبينهم الصلاة؛ فمَن تركها فقد كفر»</w:t>
      </w:r>
      <w:r>
        <w:rPr>
          <w:rStyle w:val="FootnoteReference"/>
        </w:rPr>
        <w:footnoteReference w:id="11"/>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وقال عبدُ الله بنُ شقيقٍ العُقيليُّ — وهو من سادات التابعين —: </w:t>
      </w:r>
      <w:r>
        <w:rPr>
          <w:rFonts w:ascii="Traditional Arabic" w:cs="Traditional Arabic" w:eastAsia="Traditional Arabic" w:hAnsi="Traditional Arabic"/>
          <w:b/>
          <w:bCs/>
          <w:i w:val="false"/>
          <w:iCs w:val="false"/>
          <w:sz w:val="28"/>
          <w:szCs w:val="28"/>
          <w:rtl/>
        </w:rPr>
        <w:t xml:space="preserve">ما كان أصحابُ رسول الله ﷺ يرَون شيئًا من الأعمال تركُه كفرٌ غيرَ الصلاة</w:t>
      </w:r>
      <w:r>
        <w:rPr>
          <w:rStyle w:val="FootnoteReference"/>
        </w:rPr>
        <w:footnoteReference w:id="12"/>
      </w:r>
      <w:r>
        <w:rPr>
          <w:rFonts w:ascii="Traditional Arabic" w:cs="Traditional Arabic" w:eastAsia="Traditional Arabic" w:hAnsi="Traditional Arabic"/>
          <w:b w:val="false"/>
          <w:bCs w:val="false"/>
          <w:i w:val="false"/>
          <w:iCs w:val="false"/>
          <w:sz w:val="28"/>
          <w:szCs w:val="28"/>
          <w:rtl/>
        </w:rPr>
        <w:t xml:space="preserve">.</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ومَشهدٌ من فقه الفاروق</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روى عبدُ الرزّاق عن ابن عباسٍ ﵄ قال: </w:t>
      </w:r>
      <w:r>
        <w:rPr>
          <w:rFonts w:ascii="Traditional Arabic" w:cs="Traditional Arabic" w:eastAsia="Traditional Arabic" w:hAnsi="Traditional Arabic"/>
          <w:b/>
          <w:bCs/>
          <w:i w:val="false"/>
          <w:iCs w:val="false"/>
          <w:sz w:val="28"/>
          <w:szCs w:val="28"/>
          <w:rtl/>
        </w:rPr>
        <w:t xml:space="preserve">لَمّا طُعِن عمرُ ﵁ — وهو يُصلّي الفجر — احتملتُه أنا ونفرٌ من الأنصار حتى أدخلناه منزلَه، فلم يزل في غشيةٍ واحدةٍ مُغمًى عليه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فقال رجل: لن تُفزِعوه بشيءٍ إلا بالصلاة! فقلنا: الصلاةَ يا أمير المؤمنين. ففتح عينيه فقال: أصَلّى الناس؟ قلنا: نعم</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فقال: «لا حظَّ في الإسلام لأحدٍ ترك الصلاة» — ثم قام فصلّى وجرحُه يَثعَبُ دمًا</w:t>
      </w:r>
      <w:r>
        <w:rPr>
          <w:rStyle w:val="FootnoteReference"/>
        </w:rPr>
        <w:footnoteReference w:id="13"/>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فكلّما تهاونت نفسُك في الصلاة، </w:t>
      </w:r>
      <w:r>
        <w:rPr>
          <w:rFonts w:ascii="Traditional Arabic" w:cs="Traditional Arabic" w:eastAsia="Traditional Arabic" w:hAnsi="Traditional Arabic"/>
          <w:b/>
          <w:bCs/>
          <w:i w:val="false"/>
          <w:iCs w:val="false"/>
          <w:sz w:val="28"/>
          <w:szCs w:val="28"/>
          <w:rtl/>
        </w:rPr>
        <w:t xml:space="preserve">تذكَّرْ حبيبَك ﷺ وهو يلفظ أنفاسَه الأخيرة يقول: «الصلاةَ الصلاةَ، وما ملكت أيمانُكم»</w:t>
      </w:r>
      <w:r>
        <w:rPr>
          <w:rStyle w:val="FootnoteReference"/>
        </w:rPr>
        <w:footnoteReference w:id="14"/>
      </w:r>
      <w:r>
        <w:rPr>
          <w:rFonts w:ascii="Traditional Arabic" w:cs="Traditional Arabic" w:eastAsia="Traditional Arabic" w:hAnsi="Traditional Arabic"/>
          <w:b w:val="false"/>
          <w:bCs w:val="false"/>
          <w:i w:val="false"/>
          <w:iCs w:val="false"/>
          <w:sz w:val="28"/>
          <w:szCs w:val="28"/>
          <w:rtl/>
        </w:rPr>
        <w:t xml:space="preserve">.</w:t>
      </w:r>
    </w:p>
    <w:p>
      <w:pPr>
        <w:bidi/>
        <w:spacing w:after="180" w:line="365"/>
        <w:jc w:val="right"/>
      </w:pPr>
      <w:r>
        <w:rPr>
          <w:rFonts w:ascii="Traditional Arabic" w:cs="Traditional Arabic" w:eastAsia="Traditional Arabic" w:hAnsi="Traditional Arabic"/>
          <w:b w:val="false"/>
          <w:bCs w:val="false"/>
          <w:i w:val="false"/>
          <w:iCs w:val="false"/>
          <w:sz w:val="28"/>
          <w:szCs w:val="28"/>
          <w:rtl/>
        </w:rPr>
        <w:t xml:space="preserve">باركَ اللهُ لي ولكم بالقرآنِ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الخطبة الثانية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الحمدُ لله وكفى، والصلاةُ والسلامُ على النبيِّ المصطفى، وعلى آلِه وصحبِه ومَن سار على دربِه وسنّتَه اقتفى.</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ثانيًا: ما أعدَّ اللهُ لتارك الصلاة</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١) الوعيدُ بسَقَر</w:t>
      </w:r>
    </w:p>
    <w:p>
      <w:pPr>
        <w:bidi/>
        <w:spacing w:after="130" w:line="365"/>
        <w:jc w:val="both"/>
      </w:pPr>
      <w:r>
        <w:rPr>
          <w:rFonts w:ascii="Traditional Arabic" w:cs="Traditional Arabic" w:eastAsia="Traditional Arabic" w:hAnsi="Traditional Arabic"/>
          <w:b/>
          <w:bCs/>
          <w:i w:val="false"/>
          <w:iCs w:val="false"/>
          <w:sz w:val="28"/>
          <w:szCs w:val="28"/>
          <w:rtl/>
        </w:rPr>
        <w:t xml:space="preserve">﴿مَا سَلَكَكُمْ فِي سَقَرَ • قَالُوا لَمْ نَكُ مِنَ الْمُصَلِّينَ﴾</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فأوّلُ جوابٍ نطقوا به: لم نكُ من المصلّين!</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وسَقَرُ التي ﴿لَا تُبْقِي وَلَا تَذَرُ • لَوَّاحَةٌ لِّلْبَشَرِ • عَلَيْهَا تِسْعَةَ عَشَرَ﴾ — أَلَكَ طاقةٌ بها؟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٢) الوعيدُ بالغَيّ</w:t>
      </w:r>
    </w:p>
    <w:p>
      <w:pPr>
        <w:bidi/>
        <w:spacing w:after="130" w:line="365"/>
        <w:jc w:val="both"/>
      </w:pPr>
      <w:r>
        <w:rPr>
          <w:rFonts w:ascii="Traditional Arabic" w:cs="Traditional Arabic" w:eastAsia="Traditional Arabic" w:hAnsi="Traditional Arabic"/>
          <w:b/>
          <w:bCs/>
          <w:i w:val="false"/>
          <w:iCs w:val="false"/>
          <w:sz w:val="28"/>
          <w:szCs w:val="28"/>
          <w:rtl/>
        </w:rPr>
        <w:t xml:space="preserve">﴿فَخَلَفَ مِن بَعْدِهِمْ خَلْفٌ أَضَاعُوا الصَّلَاةَ وَاتَّبَعُوا الشَّهَوَاتِ ۖ فَسَوْفَ يَلْقَوْنَ غَيًّا﴾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وقال بعضُ المفسّرين: الغَيُّ وادٍ في جهنّم — وأقبِحْ بأوديتها!</w:t>
      </w:r>
    </w:p>
    <w:p>
      <w:pPr>
        <w:bidi/>
        <w:spacing w:after="100" w:before="200" w:line="360"/>
        <w:jc w:val="right"/>
      </w:pPr>
      <w:r>
        <w:rPr>
          <w:rFonts w:ascii="Traditional Arabic" w:cs="Traditional Arabic" w:eastAsia="Traditional Arabic" w:hAnsi="Traditional Arabic"/>
          <w:b/>
          <w:bCs/>
          <w:i w:val="false"/>
          <w:iCs w:val="false"/>
          <w:color w:val="2F4F4F"/>
          <w:sz w:val="28"/>
          <w:szCs w:val="28"/>
          <w:rtl/>
        </w:rPr>
        <w:t xml:space="preserve">٣) أن يُحشَر مع رؤوس الكفر</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وهذا حديثٌ </w:t>
      </w:r>
      <w:r>
        <w:rPr>
          <w:rFonts w:ascii="Traditional Arabic" w:cs="Traditional Arabic" w:eastAsia="Traditional Arabic" w:hAnsi="Traditional Arabic"/>
          <w:b/>
          <w:bCs/>
          <w:i w:val="false"/>
          <w:iCs w:val="false"/>
          <w:sz w:val="28"/>
          <w:szCs w:val="28"/>
          <w:rtl/>
        </w:rPr>
        <w:t xml:space="preserve">أُقسِمُ بالله لو أنّ قلوبَنا حيّةٌ وقرأته لَما تركت الصلاةَ طرفةَ عين</w:t>
      </w:r>
      <w:r>
        <w:rPr>
          <w:rFonts w:ascii="Traditional Arabic" w:cs="Traditional Arabic" w:eastAsia="Traditional Arabic" w:hAnsi="Traditional Arabic"/>
          <w:b w:val="false"/>
          <w:bCs w:val="false"/>
          <w:i w:val="false"/>
          <w:iCs w:val="false"/>
          <w:sz w:val="28"/>
          <w:szCs w:val="28"/>
          <w:rtl/>
        </w:rPr>
        <w:t xml:space="preserve">؛ قال ﷺ:</w:t>
      </w:r>
    </w:p>
    <w:p>
      <w:pPr>
        <w:pBdr>
          <w:top w:val="single" w:color="C0A47E" w:sz="6" w:space="8"/>
          <w:bottom w:val="single" w:color="C0A47E" w:sz="6" w:space="8"/>
          <w:left w:val="single" w:color="C0A47E" w:sz="6" w:space="8"/>
          <w:right w:val="single" w:color="C0A47E" w:sz="6" w:space="8"/>
        </w:pBdr>
        <w:shd w:fill="FBF8F3" w:val="clear"/>
        <w:bidi/>
        <w:spacing w:after="140" w:before="140" w:line="375"/>
        <w:ind w:left="288" w:right="288"/>
        <w:jc w:val="both"/>
      </w:pPr>
      <w:r>
        <w:rPr>
          <w:rFonts w:ascii="Traditional Arabic" w:cs="Traditional Arabic" w:eastAsia="Traditional Arabic" w:hAnsi="Traditional Arabic"/>
          <w:b w:val="false"/>
          <w:bCs w:val="false"/>
          <w:i w:val="false"/>
          <w:iCs w:val="false"/>
          <w:sz w:val="28"/>
          <w:szCs w:val="28"/>
          <w:rtl/>
        </w:rPr>
        <w:t xml:space="preserve">«مَن حافظ عليها كانت له نورًا وبرهانًا ونجاةً يوم القيامة؛ </w:t>
      </w:r>
      <w:r>
        <w:rPr>
          <w:rFonts w:ascii="Traditional Arabic" w:cs="Traditional Arabic" w:eastAsia="Traditional Arabic" w:hAnsi="Traditional Arabic"/>
          <w:b/>
          <w:bCs/>
          <w:i w:val="false"/>
          <w:iCs w:val="false"/>
          <w:sz w:val="28"/>
          <w:szCs w:val="28"/>
          <w:rtl/>
        </w:rPr>
        <w:t xml:space="preserve">ومَن لم يُحافِظْ عليها لم تكن له نورًا ولا برهانًا ولا نجاة، وكان يوم القيامة مع قارونَ وفرعونَ وهامانَ وأُبَيِّ بنِ خلَف»</w:t>
      </w:r>
      <w:r>
        <w:rPr>
          <w:rStyle w:val="FootnoteReference"/>
        </w:rPr>
        <w:footnoteReference w:id="15"/>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فرعونُ الذي قال: </w:t>
      </w:r>
      <w:r>
        <w:rPr>
          <w:rFonts w:ascii="Traditional Arabic" w:cs="Traditional Arabic" w:eastAsia="Traditional Arabic" w:hAnsi="Traditional Arabic"/>
          <w:b/>
          <w:bCs/>
          <w:i w:val="false"/>
          <w:iCs w:val="false"/>
          <w:sz w:val="28"/>
          <w:szCs w:val="28"/>
          <w:rtl/>
        </w:rPr>
        <w:t xml:space="preserve">﴿أَنَا رَبُّكُمُ الْأَعْلَىٰ﴾</w:t>
      </w:r>
      <w:r>
        <w:rPr>
          <w:rFonts w:ascii="Traditional Arabic" w:cs="Traditional Arabic" w:eastAsia="Traditional Arabic" w:hAnsi="Traditional Arabic"/>
          <w:b w:val="false"/>
          <w:bCs w:val="false"/>
          <w:i w:val="false"/>
          <w:iCs w:val="false"/>
          <w:sz w:val="28"/>
          <w:szCs w:val="28"/>
          <w:rtl/>
        </w:rPr>
        <w:t xml:space="preserve"> — </w:t>
      </w:r>
      <w:r>
        <w:rPr>
          <w:rFonts w:ascii="Traditional Arabic" w:cs="Traditional Arabic" w:eastAsia="Traditional Arabic" w:hAnsi="Traditional Arabic"/>
          <w:b/>
          <w:bCs/>
          <w:i w:val="false"/>
          <w:iCs w:val="false"/>
          <w:sz w:val="28"/>
          <w:szCs w:val="28"/>
          <w:rtl/>
        </w:rPr>
        <w:t xml:space="preserve">أتُحشَرُ معه؟!</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فأتعِسْ بعبدٍ هذا محشرُه، وأَنعِمْ بعبدٍ عظّم الصلاةَ فحُشِر إلى جوار عمرَ بنِ الخطاب ﵁</w:t>
      </w:r>
      <w:r>
        <w:rPr>
          <w:rFonts w:ascii="Traditional Arabic" w:cs="Traditional Arabic" w:eastAsia="Traditional Arabic" w:hAnsi="Traditional Arabic"/>
          <w:b w:val="false"/>
          <w:bCs w:val="false"/>
          <w:i w:val="false"/>
          <w:iCs w:val="false"/>
          <w:sz w:val="28"/>
          <w:szCs w:val="28"/>
          <w:rtl/>
        </w:rPr>
        <w:t xml:space="preserve">.</w:t>
      </w:r>
    </w:p>
    <w:p>
      <w:pPr>
        <w:pBdr>
          <w:bottom w:val="single" w:color="C0A47E" w:sz="6" w:space="4"/>
        </w:pBdr>
        <w:bidi/>
        <w:spacing w:after="130" w:before="280" w:line="360"/>
        <w:jc w:val="right"/>
      </w:pPr>
      <w:r>
        <w:rPr>
          <w:rFonts w:ascii="Traditional Arabic" w:cs="Traditional Arabic" w:eastAsia="Traditional Arabic" w:hAnsi="Traditional Arabic"/>
          <w:b/>
          <w:bCs/>
          <w:i w:val="false"/>
          <w:iCs w:val="false"/>
          <w:color w:val="5B3A29"/>
          <w:sz w:val="32"/>
          <w:szCs w:val="32"/>
          <w:rtl/>
        </w:rPr>
        <w:t xml:space="preserve">ورسالةٌ أخيرة</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يا مَن في بيتك مَن لا يُصلّي وأنت قادرٌ على أمرهم: </w:t>
      </w:r>
      <w:r>
        <w:rPr>
          <w:rFonts w:ascii="Traditional Arabic" w:cs="Traditional Arabic" w:eastAsia="Traditional Arabic" w:hAnsi="Traditional Arabic"/>
          <w:b/>
          <w:bCs/>
          <w:i w:val="false"/>
          <w:iCs w:val="false"/>
          <w:sz w:val="28"/>
          <w:szCs w:val="28"/>
          <w:rtl/>
        </w:rPr>
        <w:t xml:space="preserve">اعلم أيّها الأبُ وأيّتها الأمّ أنّ الولدَ إذا بلغ السابعة فأنت محاسَبٌ على عدم أمره بالصلاة</w:t>
      </w:r>
      <w:r>
        <w:rPr>
          <w:rFonts w:ascii="Traditional Arabic" w:cs="Traditional Arabic" w:eastAsia="Traditional Arabic" w:hAnsi="Traditional Arabic"/>
          <w:b w:val="false"/>
          <w:bCs w:val="false"/>
          <w:i w:val="false"/>
          <w:iCs w:val="false"/>
          <w:sz w:val="28"/>
          <w:szCs w:val="28"/>
          <w:rtl/>
        </w:rPr>
        <w:t xml:space="preserve">؛ قال ﷺ: </w:t>
      </w:r>
      <w:r>
        <w:rPr>
          <w:rFonts w:ascii="Traditional Arabic" w:cs="Traditional Arabic" w:eastAsia="Traditional Arabic" w:hAnsi="Traditional Arabic"/>
          <w:b/>
          <w:bCs/>
          <w:i w:val="false"/>
          <w:iCs w:val="false"/>
          <w:sz w:val="28"/>
          <w:szCs w:val="28"/>
          <w:rtl/>
        </w:rPr>
        <w:t xml:space="preserve">«مُروا أولادَكم بالصلاة وهم أبناءُ سبع، واضربوهم عليها وهم أبناءُ عشر»</w:t>
      </w:r>
      <w:r>
        <w:rPr>
          <w:rStyle w:val="FootnoteReference"/>
        </w:rPr>
        <w:footnoteReference w:id="16"/>
      </w:r>
      <w:r>
        <w:rPr>
          <w:rFonts w:ascii="Traditional Arabic" w:cs="Traditional Arabic" w:eastAsia="Traditional Arabic" w:hAnsi="Traditional Arabic"/>
          <w:b w:val="false"/>
          <w:bCs w:val="false"/>
          <w:i w:val="false"/>
          <w:iCs w:val="false"/>
          <w:sz w:val="28"/>
          <w:szCs w:val="28"/>
          <w:rtl/>
        </w:rPr>
        <w:t xml:space="preserve">.</w:t>
      </w:r>
    </w:p>
    <w:p>
      <w:pPr>
        <w:bidi/>
        <w:spacing w:after="130" w:line="365"/>
        <w:jc w:val="both"/>
      </w:pPr>
      <w:r>
        <w:rPr>
          <w:rFonts w:ascii="Traditional Arabic" w:cs="Traditional Arabic" w:eastAsia="Traditional Arabic" w:hAnsi="Traditional Arabic"/>
          <w:b w:val="false"/>
          <w:bCs w:val="false"/>
          <w:i w:val="false"/>
          <w:iCs w:val="false"/>
          <w:sz w:val="28"/>
          <w:szCs w:val="28"/>
          <w:rtl/>
        </w:rPr>
        <w:t xml:space="preserve">فعظِّمِ الصلاةَ في قلوب أولادك، </w:t>
      </w:r>
      <w:r>
        <w:rPr>
          <w:rFonts w:ascii="Traditional Arabic" w:cs="Traditional Arabic" w:eastAsia="Traditional Arabic" w:hAnsi="Traditional Arabic"/>
          <w:b/>
          <w:bCs/>
          <w:i w:val="false"/>
          <w:iCs w:val="false"/>
          <w:sz w:val="28"/>
          <w:szCs w:val="28"/>
          <w:rtl/>
        </w:rPr>
        <w:t xml:space="preserve">واجعَلْهم يرَون أنّك تتنازل عن كلِّ شيءٍ إلا عنها</w:t>
      </w:r>
      <w:r>
        <w:rPr>
          <w:rFonts w:ascii="Traditional Arabic" w:cs="Traditional Arabic" w:eastAsia="Traditional Arabic" w:hAnsi="Traditional Arabic"/>
          <w:b w:val="false"/>
          <w:bCs w:val="false"/>
          <w:i w:val="false"/>
          <w:iCs w:val="false"/>
          <w:sz w:val="28"/>
          <w:szCs w:val="28"/>
          <w:rtl/>
        </w:rPr>
        <w:t xml:space="preserve">. </w:t>
      </w:r>
      <w:r>
        <w:rPr>
          <w:rFonts w:ascii="Traditional Arabic" w:cs="Traditional Arabic" w:eastAsia="Traditional Arabic" w:hAnsi="Traditional Arabic"/>
          <w:b/>
          <w:bCs/>
          <w:i w:val="false"/>
          <w:iCs w:val="false"/>
          <w:sz w:val="28"/>
          <w:szCs w:val="28"/>
          <w:rtl/>
        </w:rPr>
        <w:t xml:space="preserve">ونسأل اللهَ أن يرزقنا قلوبًا تُعظِّم الصلاة، وأن يُثبِّتنا عليها حتى نلقاه</w:t>
      </w:r>
      <w:r>
        <w:rPr>
          <w:rFonts w:ascii="Traditional Arabic" w:cs="Traditional Arabic" w:eastAsia="Traditional Arabic" w:hAnsi="Traditional Arabic"/>
          <w:b/>
          <w:bCs/>
          <w:i w:val="false"/>
          <w:iCs w:val="false"/>
          <w:sz w:val="28"/>
          <w:szCs w:val="28"/>
          <w:rtl/>
        </w:rPr>
        <w:t xml:space="preserve">. اللهمّ اغفر للمسلمين والمسلمات، الأحياءِ منهم والأموات. اللهمّ آمِنّا في أوطاننا، وأصلِح واهدِ ووفِّق وُلاةَ أمورنا، واجعل هذا البلدَ آمنًا مطمئنًّا وسائرَ بلادِ المسلمين. اللهمّ احفظ أهلَنا في غزّةَ وفي عمومِ فلسطين، وانصرهم بنصرك وأيّدهم بتأييدك. ربَّنا آتِنا في الدنيا حسنةً وفي الآخرةِ حسنةً وقِنا عذابَ النار. وآخرُ دعوانا أنِ الحمدُ لله ربِّ العالمين، وصلّى اللهُ على نبيّنا محمدٍ وعلى آلِه وصحبِه أجمعين.</w:t>
      </w:r>
    </w:p>
    <w:sectPr>
      <w:headerReference w:type="default" r:id="rId7"/>
      <w:footerReference w:type="default" r:id="rId8"/>
      <w:pgSz w:w="11906" w:h="16838" w:orient="portrait"/>
      <w:pgMar w:top="1250" w:right="1350" w:bottom="1250" w:left="13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sz w:val="20"/>
        <w:szCs w:val="20"/>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(٣٣٧٧) وابن ماجه وأحمد والحاكم من حديث أبي الدرداء ﵁، وصحّحه الألباني في «صحيح الجامع» (٢٦٢٩) و«السلسلة الصحيحة» (١٤٩٧).</w:t>
      </w:r>
    </w:p>
  </w:footnote>
  <w:footnote w:id="2">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انظر: «الوابل الصيّب من الكلم الطيّب» لابن القيّم؛ وأخبارُ الحسن في «حلية الأولياء» لأبي نعيم.</w:t>
      </w:r>
    </w:p>
  </w:footnote>
  <w:footnote w:id="3">
    <w:p>
      <w:pPr>
        <w:bidi/>
        <w:jc w:val="right"/>
      </w:pPr>
      <w:r>
        <w:rPr>
          <w:rStyle w:val="FootnoteReference"/>
        </w:rPr>
        <w:footnoteRef/>
      </w: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في كتب الرقائق عند ابن أبي الدنيا وغيره؛ لا يصحُّ رفعُه ولا يُبنى عليه حكم، وإنّما يُساق للاعتبار. وأصلُ فضل أذكار الصباح والمساء ثابتٌ في السنّة.</w:t>
      </w:r>
    </w:p>
  </w:footnote>
  <w:footnote w:id="4">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(٢٣٩٩) وأحمد من حديث أبي هريرة ﵁. قال الترمذي: «حسنٌ صحيح»، وصحّحه الألباني في «صحيح الجامع» (٥٨١٥) و«السلسلة الصحيحة» (٢٢٨٠).</w:t>
      </w:r>
    </w:p>
  </w:footnote>
  <w:footnote w:id="5">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(٢٣٩٦) وابن ماجه من حديث أنسٍ ﵁، وحسّنه الألباني في «صحيح الجامع» (٢١١٠) و«السلسلة الصحيحة» (١٤٦).</w:t>
      </w:r>
    </w:p>
  </w:footnote>
  <w:footnote w:id="6">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من الإسرائيليّات المرويّة عن وهب بن مُنبِّه في كتب الزهد؛ لا يصحُّ رفعُه ولا يُبنى عليه حكم، وإنّما يُساق للاعتبار. وأصلُ المعنى ثابتٌ في حديث «إنّ عِظَمَ الجزاء مع عِظَم البلاء».</w:t>
      </w:r>
    </w:p>
  </w:footnote>
  <w:footnote w:id="7">
    <w:p>
      <w:pPr>
        <w:bidi/>
        <w:jc w:val="right"/>
      </w:pPr>
      <w:r>
        <w:rPr>
          <w:rStyle w:val="FootnoteReference"/>
        </w:rPr>
        <w:footnoteRef/>
      </w: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خبرٌ مشهور في ترجمة عروة بن الزبير ﵀ عند الذهبي في «سير أعلام النبلاء» وابن الجوزي؛ وهو من أخبار التراجم لا من المرفوع.</w:t>
      </w:r>
    </w:p>
  </w:footnote>
  <w:footnote w:id="8">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(٢٤٧٠) من حديث عائشة ﵂، وصحّحه الألباني في «صحيح الترمذي» و«السلسلة الصحيحة» (٢٥٤٤).</w:t>
      </w:r>
    </w:p>
  </w:footnote>
  <w:footnote w:id="9">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الترمذي (٦١٤) وابن ماجه وأحمد من حديث معاذ بن جبلٍ ﵁، وصحّحه الألباني في «صحيح الجامع» (٥١٣٦) و«الإرواء» (٤١٣).</w:t>
      </w:r>
    </w:p>
  </w:footnote>
  <w:footnote w:id="10">
    <w:p>
      <w:pPr>
        <w:bidi/>
        <w:jc w:val="right"/>
      </w:pPr>
      <w:r>
        <w:rPr>
          <w:rStyle w:val="FootnoteReference"/>
        </w:rPr>
        <w:footnoteRef/>
      </w:r>
      <w:r>
        <w:rPr>
          <w:rStyle w:val="FootnoteReference"/>
        </w:rPr>
        <w:footnoteRef/>
      </w:r>
      <w:r>
        <w:rPr>
          <w:rFonts w:ascii="Traditional Arabic" w:cs="Traditional Arabic" w:eastAsia="Traditional Arabic" w:hAnsi="Traditional Arabic"/>
          <w:sz w:val="20"/>
          <w:szCs w:val="20"/>
          <w:rtl/>
        </w:rPr>
        <w:t xml:space="preserve">رواه الطبراني في «الكبير» من حديث أمّ سلمة ﵂ وغيرها، وصحّحه الألباني في «صحيح الجامع» (٣٧٩٦) و«السلسلة الصحيحة» (١٩٠٨).</w:t>
      </w:r>
    </w:p>
  </w:footnote>
  <w:footnote w:id="11">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(٢٦٢١) والنسائي وابن ماجه وأحمد من حديث بريدة ﵁، وصحّحه الألباني في «صحيح الجامع» (٤١٤٣) و«الإرواء» (٢٠٩).</w:t>
      </w:r>
    </w:p>
  </w:footnote>
  <w:footnote w:id="12">
    <w:p>
      <w:pPr>
        <w:bidi/>
        <w:jc w:val="right"/>
      </w:pPr>
      <w:r>
        <w:rPr>
          <w:rStyle w:val="FootnoteReference"/>
        </w:rPr>
        <w:footnoteRef/>
      </w:r>
      <w:r>
        <w:rPr>
          <w:rFonts w:ascii="Traditional Arabic" w:cs="Traditional Arabic" w:eastAsia="Traditional Arabic" w:hAnsi="Traditional Arabic"/>
          <w:sz w:val="20"/>
          <w:szCs w:val="20"/>
          <w:rtl/>
        </w:rPr>
        <w:t xml:space="preserve">رواه الترمذي (٢٦٢٢) عن عبد الله بن شقيقٍ العقيليّ، وصحّح إسنادَه الألباني في «صحيح الترمذي».</w:t>
      </w:r>
    </w:p>
  </w:footnote>
  <w:footnote w:id="13">
    <w:p>
      <w:pPr>
        <w:bidi/>
        <w:jc w:val="right"/>
      </w:pPr>
      <w:r>
        <w:rPr>
          <w:rStyle w:val="FootnoteReference"/>
        </w:rPr>
        <w:footnoteRef/>
      </w:r>
      <w:r>
        <w:rPr>
          <w:rFonts w:ascii="Traditional Arabic" w:cs="Traditional Arabic" w:eastAsia="Traditional Arabic" w:hAnsi="Traditional Arabic"/>
          <w:sz w:val="20"/>
          <w:szCs w:val="20"/>
          <w:rtl/>
        </w:rPr>
        <w:t xml:space="preserve">رواه مالك في «الموطأ» وعبد الرزاق في «مصنّفه»؛ وهو أثرٌ ثابتٌ عن عمر ﵁.</w:t>
      </w:r>
    </w:p>
  </w:footnote>
  <w:footnote w:id="14">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(٥١٥٦) وابن ماجه وأحمد من حديث أمّ سلمة ﵂ وعليٍّ ﵁، وصحّحه الألباني في «صحيح أبي داود» (٤٢٩٠) و«الإرواء» (٢١٧٨).</w:t>
      </w:r>
    </w:p>
  </w:footnote>
  <w:footnote w:id="15">
    <w:p>
      <w:pPr>
        <w:bidi/>
        <w:jc w:val="right"/>
      </w:pPr>
      <w:r>
        <w:rPr>
          <w:rStyle w:val="FootnoteReference"/>
        </w:rPr>
        <w:footnoteRef/>
      </w:r>
      <w:r>
        <w:rPr>
          <w:rFonts w:ascii="Traditional Arabic" w:cs="Traditional Arabic" w:eastAsia="Traditional Arabic" w:hAnsi="Traditional Arabic"/>
          <w:sz w:val="20"/>
          <w:szCs w:val="20"/>
          <w:rtl/>
        </w:rPr>
        <w:t xml:space="preserve">رواه أحمد (٢/١٦٩) والدارمي والطبراني من حديث عبد الله بن عمرو ﵄، وحسّنه الألباني في «صحيح الترغيب» (٥٧٤) و«السلسلة الصحيحة» (١١٦٥).</w:t>
      </w:r>
    </w:p>
  </w:footnote>
  <w:footnote w:id="16">
    <w:p>
      <w:pPr>
        <w:bidi/>
        <w:jc w:val="right"/>
      </w:pPr>
      <w:r>
        <w:rPr>
          <w:rStyle w:val="FootnoteReference"/>
        </w:rPr>
        <w:footnoteRef/>
      </w:r>
      <w:r>
        <w:rPr>
          <w:rFonts w:ascii="Traditional Arabic" w:cs="Traditional Arabic" w:eastAsia="Traditional Arabic" w:hAnsi="Traditional Arabic"/>
          <w:sz w:val="20"/>
          <w:szCs w:val="20"/>
          <w:rtl/>
        </w:rPr>
        <w:t xml:space="preserve">رواه أبو داود (٤٩٥) وأحمد والحاكم من حديث عمرو بن شعيبٍ عن أبيه عن جدّه، وحسّنه الألباني في «صحيح أبي داود» (٥٠٩) و«الإرواء» (٢٤٧).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B393" w:sz="4" w:space="4"/>
      </w:pBdr>
      <w:bidi/>
      <w:jc w:val="right"/>
    </w:pPr>
    <w:r>
      <w:rPr>
        <w:rFonts w:ascii="Traditional Arabic" w:cs="Traditional Arabic" w:eastAsia="Traditional Arabic" w:hAnsi="Traditional Arabic"/>
        <w:b w:val="false"/>
        <w:bCs w:val="false"/>
        <w:i w:val="false"/>
        <w:iCs w:val="false"/>
        <w:color w:val="8A7A66"/>
        <w:sz w:val="19"/>
        <w:szCs w:val="19"/>
        <w:rtl/>
      </w:rPr>
      <w:t xml:space="preserve">الصلاة — رسالةٌ لتارك الصلاة — خطبة الجمعة | د. عماد السواعير</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pPr>
        <w:bidi/>
        <w:spacing w:after="130" w:line="365"/>
        <w:jc w:val="both"/>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2026-08-02T14:00:53.371Z</dcterms:created>
  <dcterms:modified xsi:type="dcterms:W3CDTF">2026-08-02T14:00:53.371Z</dcterms:modified>
</cp:coreProperties>
</file>

<file path=docProps/custom.xml><?xml version="1.0" encoding="utf-8"?>
<Properties xmlns="http://schemas.openxmlformats.org/officeDocument/2006/custom-properties" xmlns:vt="http://schemas.openxmlformats.org/officeDocument/2006/docPropsVTypes"/>
</file>