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التقوى: منزلتُها وآثارُها</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مَن لم يلبَسْها فهو عارٍ مهما لبِس</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مَن لم يلبَسْها فهو عارٍ مهما لبِس</w:t>
      </w:r>
      <w:r>
        <w:rPr>
          <w:rFonts w:ascii="Traditional Arabic" w:cs="Traditional Arabic" w:eastAsia="Traditional Arabic" w:hAnsi="Traditional Arabic"/>
          <w:b w:val="false"/>
          <w:bCs w:val="false"/>
          <w:i w:val="false"/>
          <w:iCs w:val="false"/>
          <w:sz w:val="28"/>
          <w:szCs w:val="28"/>
          <w:rtl/>
        </w:rPr>
        <w:t xml:space="preserve">؛ عليها مدارُ سعادة العبد، وهي وصيّةُ الله لعباده ووصيّةُ رسوله ﷺ لأتباعه — </w:t>
      </w:r>
      <w:r>
        <w:rPr>
          <w:rFonts w:ascii="Traditional Arabic" w:cs="Traditional Arabic" w:eastAsia="Traditional Arabic" w:hAnsi="Traditional Arabic"/>
          <w:b/>
          <w:bCs/>
          <w:i w:val="false"/>
          <w:iCs w:val="false"/>
          <w:sz w:val="28"/>
          <w:szCs w:val="28"/>
          <w:rtl/>
        </w:rPr>
        <w:t xml:space="preserve">ما جاورت قلبَ عبدٍ إلا وصَل</w:t>
      </w:r>
      <w:r>
        <w:rPr>
          <w:rFonts w:ascii="Traditional Arabic" w:cs="Traditional Arabic" w:eastAsia="Traditional Arabic" w:hAnsi="Traditional Arabic"/>
          <w:b w:val="false"/>
          <w:bCs w:val="false"/>
          <w:i w:val="false"/>
          <w:iCs w:val="false"/>
          <w:sz w:val="28"/>
          <w:szCs w:val="28"/>
          <w:rtl/>
        </w:rPr>
        <w:t xml:space="preserve">. إنّها </w:t>
      </w:r>
      <w:r>
        <w:rPr>
          <w:rFonts w:ascii="Traditional Arabic" w:cs="Traditional Arabic" w:eastAsia="Traditional Arabic" w:hAnsi="Traditional Arabic"/>
          <w:b/>
          <w:bCs/>
          <w:i w:val="false"/>
          <w:iCs w:val="false"/>
          <w:sz w:val="28"/>
          <w:szCs w:val="28"/>
          <w:rtl/>
        </w:rPr>
        <w:t xml:space="preserve">التقوى</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ومن أحسن ما قيل في تعريفها ما يُروى عن عليٍّ ﵁: </w:t>
      </w:r>
      <w:r>
        <w:rPr>
          <w:rFonts w:ascii="Traditional Arabic" w:cs="Traditional Arabic" w:eastAsia="Traditional Arabic" w:hAnsi="Traditional Arabic"/>
          <w:b/>
          <w:bCs/>
          <w:i w:val="false"/>
          <w:iCs w:val="false"/>
          <w:sz w:val="28"/>
          <w:szCs w:val="28"/>
          <w:rtl/>
        </w:rPr>
        <w:t xml:space="preserve">التقوى: الخوفُ من الجليل، والعملُ بالتنزيل، والرضا بالقليل، والاستعدادُ ليوم الرحيل</w:t>
      </w:r>
      <w:r>
        <w:rPr>
          <w:rStyle w:val="FootnoteReference"/>
        </w:rPr>
        <w:footnoteReference w:id="10"/>
      </w:r>
      <w:r>
        <w:rPr>
          <w:rFonts w:ascii="Traditional Arabic" w:cs="Traditional Arabic" w:eastAsia="Traditional Arabic" w:hAnsi="Traditional Arabic"/>
          <w:b w:val="false"/>
          <w:bCs w:val="false"/>
          <w:i w:val="false"/>
          <w:iCs w:val="false"/>
          <w:sz w:val="28"/>
          <w:szCs w:val="28"/>
          <w:rtl/>
        </w:rPr>
        <w:t xml:space="preserve">. وقال ابنُ كثيرٍ ﵀: </w:t>
      </w:r>
      <w:r>
        <w:rPr>
          <w:rFonts w:ascii="Traditional Arabic" w:cs="Traditional Arabic" w:eastAsia="Traditional Arabic" w:hAnsi="Traditional Arabic"/>
          <w:b/>
          <w:bCs/>
          <w:i w:val="false"/>
          <w:iCs w:val="false"/>
          <w:sz w:val="28"/>
          <w:szCs w:val="28"/>
          <w:rtl/>
        </w:rPr>
        <w:t xml:space="preserve">التقوى أن تجعل بينك وبين عذاب الله وقايةً بفعل الأوامر واجتناب النواهي</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منزلتُها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أنّها ثمرةُ العبادات</w:t>
      </w:r>
      <w:r>
        <w:rPr>
          <w:rFonts w:ascii="Traditional Arabic" w:cs="Traditional Arabic" w:eastAsia="Traditional Arabic" w:hAnsi="Traditional Arabic"/>
          <w:b w:val="false"/>
          <w:bCs w:val="false"/>
          <w:i w:val="false"/>
          <w:iCs w:val="false"/>
          <w:sz w:val="28"/>
          <w:szCs w:val="28"/>
          <w:rtl/>
        </w:rPr>
        <w:t xml:space="preserve">؛ فهذه الطاعاتُ من صلواتٍ وزكواتٍ ثمرتُها أن تصل إلى باب التقوى: </w:t>
      </w:r>
      <w:r>
        <w:rPr>
          <w:rFonts w:ascii="Traditional Arabic" w:cs="Traditional Arabic" w:eastAsia="Traditional Arabic" w:hAnsi="Traditional Arabic"/>
          <w:b/>
          <w:bCs/>
          <w:i w:val="false"/>
          <w:iCs w:val="false"/>
          <w:sz w:val="28"/>
          <w:szCs w:val="28"/>
          <w:rtl/>
        </w:rPr>
        <w:t xml:space="preserve">﴿يَا أَيُّهَا النَّاسُ اعْبُدُوا رَبَّكُمُ الَّذِي خَلَقَكُمْ وَالَّذِينَ مِن قَبْلِكُمْ لَعَلَّكُمْ تَتَّقُونَ﴾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أنّ عليها مدارَ قبول الأعمال</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﴿إِنَّمَا يَتَقَبَّلُ اللَّهُ مِنَ الْمُتَّقِينَ﴾</w:t>
      </w:r>
      <w:r>
        <w:rPr>
          <w:rFonts w:ascii="Traditional Arabic" w:cs="Traditional Arabic" w:eastAsia="Traditional Arabic" w:hAnsi="Traditional Arabic"/>
          <w:b w:val="false"/>
          <w:bCs w:val="false"/>
          <w:i w:val="false"/>
          <w:iCs w:val="false"/>
          <w:sz w:val="28"/>
          <w:szCs w:val="28"/>
          <w:rtl/>
        </w:rPr>
        <w:t xml:space="preserve">. ودخل سائلٌ على ابن عمر ﵄ فقال لولده سالم: أعطِه دينارًا. فقال سالم: تقبَّل اللهُ منك يا أبتِ. فنظر إليه ابنُ عمر وقال: </w:t>
      </w:r>
      <w:r>
        <w:rPr>
          <w:rFonts w:ascii="Traditional Arabic" w:cs="Traditional Arabic" w:eastAsia="Traditional Arabic" w:hAnsi="Traditional Arabic"/>
          <w:b/>
          <w:bCs/>
          <w:i w:val="false"/>
          <w:iCs w:val="false"/>
          <w:sz w:val="28"/>
          <w:szCs w:val="28"/>
          <w:rtl/>
        </w:rPr>
        <w:t xml:space="preserve">لو علمتُ أنّ اللهَ تقبّل منّي سجدةً واحدةً أو صدقةَ درهمٍ، لكان الموتُ أحبَّ غائبٍ إليّ</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٣) </w:t>
      </w:r>
      <w:r>
        <w:rPr>
          <w:rFonts w:ascii="Traditional Arabic" w:cs="Traditional Arabic" w:eastAsia="Traditional Arabic" w:hAnsi="Traditional Arabic"/>
          <w:b/>
          <w:bCs/>
          <w:i w:val="false"/>
          <w:iCs w:val="false"/>
          <w:sz w:val="28"/>
          <w:szCs w:val="28"/>
          <w:rtl/>
        </w:rPr>
        <w:t xml:space="preserve">أنّها من أعظم أسباب دخول الجنّة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﴿تِلْكَ الْجَنَّةُ الَّتِي نُورِثُ مِنْ عِبَادِنَا مَن كَانَ تَقِيًّا﴾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ما قال: مَن كان غنيًّا ولا شريفًا ولا سيّدًا</w:t>
      </w:r>
      <w:r>
        <w:rPr>
          <w:rFonts w:ascii="Traditional Arabic" w:cs="Traditional Arabic" w:eastAsia="Traditional Arabic" w:hAnsi="Traditional Arabic"/>
          <w:b w:val="false"/>
          <w:bCs w:val="false"/>
          <w:i w:val="false"/>
          <w:iCs w:val="false"/>
          <w:sz w:val="28"/>
          <w:szCs w:val="28"/>
          <w:rtl/>
        </w:rPr>
        <w:t xml:space="preserve">! وقال: </w:t>
      </w:r>
      <w:r>
        <w:rPr>
          <w:rFonts w:ascii="Traditional Arabic" w:cs="Traditional Arabic" w:eastAsia="Traditional Arabic" w:hAnsi="Traditional Arabic"/>
          <w:b/>
          <w:bCs/>
          <w:i w:val="false"/>
          <w:iCs w:val="false"/>
          <w:sz w:val="28"/>
          <w:szCs w:val="28"/>
          <w:rtl/>
        </w:rPr>
        <w:t xml:space="preserve">﴿يَوْمَ نَحْشُرُ الْمُتَّقِينَ إِلَى الرَّحْمَٰنِ وَفْدًا﴾</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فهل أنت منهم؟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٤) </w:t>
      </w:r>
      <w:r>
        <w:rPr>
          <w:rFonts w:ascii="Traditional Arabic" w:cs="Traditional Arabic" w:eastAsia="Traditional Arabic" w:hAnsi="Traditional Arabic"/>
          <w:b/>
          <w:bCs/>
          <w:i w:val="false"/>
          <w:iCs w:val="false"/>
          <w:sz w:val="28"/>
          <w:szCs w:val="28"/>
          <w:rtl/>
        </w:rPr>
        <w:t xml:space="preserve">أنّها سرُّ التمايز بين الخلق</w:t>
      </w:r>
      <w:r>
        <w:rPr>
          <w:rFonts w:ascii="Traditional Arabic" w:cs="Traditional Arabic" w:eastAsia="Traditional Arabic" w:hAnsi="Traditional Arabic"/>
          <w:b w:val="false"/>
          <w:bCs w:val="false"/>
          <w:i w:val="false"/>
          <w:iCs w:val="false"/>
          <w:sz w:val="28"/>
          <w:szCs w:val="28"/>
          <w:rtl/>
        </w:rPr>
        <w:t xml:space="preserve">؛ فالناسُ اليوم يتمايزون بأموالهم وأشكالهم وقبائلهم — </w:t>
      </w:r>
      <w:r>
        <w:rPr>
          <w:rFonts w:ascii="Traditional Arabic" w:cs="Traditional Arabic" w:eastAsia="Traditional Arabic" w:hAnsi="Traditional Arabic"/>
          <w:b/>
          <w:bCs/>
          <w:i w:val="false"/>
          <w:iCs w:val="false"/>
          <w:sz w:val="28"/>
          <w:szCs w:val="28"/>
          <w:rtl/>
        </w:rPr>
        <w:t xml:space="preserve">﴿إِنَّ أَكْرَمَكُمْ عِندَ اللَّهِ أَتْقَاكُمْ﴾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فمنزلتُك عند الله على قدر التقوى في قلبك</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آثارُها — كيف أكون من المتّقين؟</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العنايةُ بالقلب وأعماله، ولا سيّما الإخلاص</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كنتَ ممّن يعتني بسلامة قلبه ونقائه من الحقد والكِبر والحسد والعُجب والرياء — فأبشِرْ. </w:t>
      </w:r>
      <w:r>
        <w:rPr>
          <w:rFonts w:ascii="Traditional Arabic" w:cs="Traditional Arabic" w:eastAsia="Traditional Arabic" w:hAnsi="Traditional Arabic"/>
          <w:b/>
          <w:bCs/>
          <w:i w:val="false"/>
          <w:iCs w:val="false"/>
          <w:sz w:val="28"/>
          <w:szCs w:val="28"/>
          <w:rtl/>
        </w:rPr>
        <w:t xml:space="preserve">وإلا فلستَ من المتّقين ولو كنتَ في الصفّ الأوّل</w:t>
      </w:r>
      <w:r>
        <w:rPr>
          <w:rFonts w:ascii="Traditional Arabic" w:cs="Traditional Arabic" w:eastAsia="Traditional Arabic" w:hAnsi="Traditional Arabic"/>
          <w:b w:val="false"/>
          <w:bCs w:val="false"/>
          <w:i w:val="false"/>
          <w:iCs w:val="false"/>
          <w:sz w:val="28"/>
          <w:szCs w:val="28"/>
          <w:rtl/>
        </w:rPr>
        <w:t xml:space="preserve">. وصدق ﷺ: </w:t>
      </w:r>
      <w:r>
        <w:rPr>
          <w:rFonts w:ascii="Traditional Arabic" w:cs="Traditional Arabic" w:eastAsia="Traditional Arabic" w:hAnsi="Traditional Arabic"/>
          <w:b/>
          <w:bCs/>
          <w:i w:val="false"/>
          <w:iCs w:val="false"/>
          <w:sz w:val="28"/>
          <w:szCs w:val="28"/>
          <w:rtl/>
        </w:rPr>
        <w:t xml:space="preserve">«التقوى ها هنا» — وأشار إلى صدره ثلاثَ مرّات</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فليست التقوى عباءةً ولا ثوبًا؛ وإنّما ما استقرّ في القلب وصدّقته الجوارح</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تركُ الذنوب، ولا سيّما ذنوبَ الخلوات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السلف: </w:t>
      </w:r>
      <w:r>
        <w:rPr>
          <w:rFonts w:ascii="Traditional Arabic" w:cs="Traditional Arabic" w:eastAsia="Traditional Arabic" w:hAnsi="Traditional Arabic"/>
          <w:b/>
          <w:bCs/>
          <w:i w:val="false"/>
          <w:iCs w:val="false"/>
          <w:sz w:val="28"/>
          <w:szCs w:val="28"/>
          <w:rtl/>
        </w:rPr>
        <w:t xml:space="preserve">التقوى: طاعةُ الله في السرِّ كما في العلن، والخوفُ منه في السرِّ كما في العلن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فكيف أنت مع جوّالك إن خلوتَ به في الظلام؟ وكيف أنت مع غضِّ بصرك؟</w:t>
      </w:r>
      <w:r>
        <w:rPr>
          <w:rFonts w:ascii="Traditional Arabic" w:cs="Traditional Arabic" w:eastAsia="Traditional Arabic" w:hAnsi="Traditional Arabic"/>
          <w:b w:val="false"/>
          <w:bCs w:val="false"/>
          <w:i w:val="false"/>
          <w:iCs w:val="false"/>
          <w:sz w:val="28"/>
          <w:szCs w:val="28"/>
          <w:rtl/>
        </w:rPr>
        <w:t xml:space="preserve"> فمَن يُصلّي ويصوم ويعتمر </w:t>
      </w:r>
      <w:r>
        <w:rPr>
          <w:rFonts w:ascii="Traditional Arabic" w:cs="Traditional Arabic" w:eastAsia="Traditional Arabic" w:hAnsi="Traditional Arabic"/>
          <w:b/>
          <w:bCs/>
          <w:i w:val="false"/>
          <w:iCs w:val="false"/>
          <w:sz w:val="28"/>
          <w:szCs w:val="28"/>
          <w:rtl/>
        </w:rPr>
        <w:t xml:space="preserve">وهو راتعٌ في الحرام — فأعتذر إليك: لستَ من المتّقين</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شدّةُ الخوف من الله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قال تعالى في وصفهم: </w:t>
      </w:r>
      <w:r>
        <w:rPr>
          <w:rFonts w:ascii="Traditional Arabic" w:cs="Traditional Arabic" w:eastAsia="Traditional Arabic" w:hAnsi="Traditional Arabic"/>
          <w:b/>
          <w:bCs/>
          <w:i w:val="false"/>
          <w:iCs w:val="false"/>
          <w:sz w:val="28"/>
          <w:szCs w:val="28"/>
          <w:rtl/>
        </w:rPr>
        <w:t xml:space="preserve">﴿وَالَّذِينَ يُؤْتُونَ مَا آتَوا وَّقُلُوبُهُمْ وَجِلَةٌ أَنَّهُمْ إِلَىٰ رَبِّهِمْ رَاجِعُونَ﴾</w:t>
      </w:r>
      <w:r>
        <w:rPr>
          <w:rFonts w:ascii="Traditional Arabic" w:cs="Traditional Arabic" w:eastAsia="Traditional Arabic" w:hAnsi="Traditional Arabic"/>
          <w:b w:val="false"/>
          <w:bCs w:val="false"/>
          <w:i w:val="false"/>
          <w:iCs w:val="false"/>
          <w:sz w:val="28"/>
          <w:szCs w:val="28"/>
          <w:rtl/>
        </w:rPr>
        <w:t xml:space="preserve">. وهذا نبيُّكم ﷺ لَمّا قالت أمُّ العلاء ﵂ في عثمان بن مظعونٍ ﵁: </w:t>
      </w:r>
      <w:r>
        <w:rPr>
          <w:rFonts w:ascii="Traditional Arabic" w:cs="Traditional Arabic" w:eastAsia="Traditional Arabic" w:hAnsi="Traditional Arabic"/>
          <w:b/>
          <w:bCs/>
          <w:i w:val="false"/>
          <w:iCs w:val="false"/>
          <w:sz w:val="28"/>
          <w:szCs w:val="28"/>
          <w:rtl/>
        </w:rPr>
        <w:t xml:space="preserve">رحمةُ الله عليك أبا السائب، شهادتي عليك لقد أكرمك الله. فقال ﷺ: «وما يُدريكِ أنّ اللهَ أكرمه؟»</w:t>
      </w:r>
      <w:r>
        <w:rPr>
          <w:rFonts w:ascii="Traditional Arabic" w:cs="Traditional Arabic" w:eastAsia="Traditional Arabic" w:hAnsi="Traditional Arabic"/>
          <w:b w:val="false"/>
          <w:bCs w:val="false"/>
          <w:i w:val="false"/>
          <w:iCs w:val="false"/>
          <w:sz w:val="28"/>
          <w:szCs w:val="28"/>
          <w:rtl/>
        </w:rPr>
        <w:t xml:space="preserve"> ثم قال: </w:t>
      </w:r>
      <w:r>
        <w:rPr>
          <w:rFonts w:ascii="Traditional Arabic" w:cs="Traditional Arabic" w:eastAsia="Traditional Arabic" w:hAnsi="Traditional Arabic"/>
          <w:b/>
          <w:bCs/>
          <w:i w:val="false"/>
          <w:iCs w:val="false"/>
          <w:sz w:val="28"/>
          <w:szCs w:val="28"/>
          <w:rtl/>
        </w:rPr>
        <w:t xml:space="preserve">«واللهِ ما أدري — وأنا رسولُ الله — ما يُفعَلُ بي ولا بكم»</w:t>
      </w:r>
      <w:r>
        <w:rPr>
          <w:rFonts w:ascii="Traditional Arabic" w:cs="Traditional Arabic" w:eastAsia="Traditional Arabic" w:hAnsi="Traditional Arabic"/>
          <w:b w:val="false"/>
          <w:bCs w:val="false"/>
          <w:i w:val="false"/>
          <w:iCs w:val="false"/>
          <w:sz w:val="28"/>
          <w:szCs w:val="28"/>
          <w:rtl/>
        </w:rPr>
        <w:t xml:space="preserve">. رواه البخاري.</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وسُئل أُبيُّ بنُ كعبٍ ﵁ عن عمر ﵁ فقال: </w:t>
      </w:r>
      <w:r>
        <w:rPr>
          <w:rFonts w:ascii="Traditional Arabic" w:cs="Traditional Arabic" w:eastAsia="Traditional Arabic" w:hAnsi="Traditional Arabic"/>
          <w:b/>
          <w:bCs/>
          <w:i w:val="false"/>
          <w:iCs w:val="false"/>
          <w:sz w:val="28"/>
          <w:szCs w:val="28"/>
          <w:rtl/>
        </w:rPr>
        <w:t xml:space="preserve">كان كالطائر الحَذِر، يرى أنّ في كلِّ سبيلٍ شَرَكًا يأخذه!</w:t>
      </w:r>
      <w:r>
        <w:rPr>
          <w:rFonts w:ascii="Traditional Arabic" w:cs="Traditional Arabic" w:eastAsia="Traditional Arabic" w:hAnsi="Traditional Arabic"/>
          <w:b w:val="false"/>
          <w:bCs w:val="false"/>
          <w:i w:val="false"/>
          <w:iCs w:val="false"/>
          <w:sz w:val="28"/>
          <w:szCs w:val="28"/>
          <w:rtl/>
        </w:rPr>
        <w:t xml:space="preserve"> وكان يقول وهو في النزع لولده: </w:t>
      </w:r>
      <w:r>
        <w:rPr>
          <w:rFonts w:ascii="Traditional Arabic" w:cs="Traditional Arabic" w:eastAsia="Traditional Arabic" w:hAnsi="Traditional Arabic"/>
          <w:b/>
          <w:bCs/>
          <w:i w:val="false"/>
          <w:iCs w:val="false"/>
          <w:sz w:val="28"/>
          <w:szCs w:val="28"/>
          <w:rtl/>
        </w:rPr>
        <w:t xml:space="preserve">ضَعْ خدّي على التراب… يا ليتني كنتُ رمادًا تذروه الرياح!</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عمرُ يخاف — وأنت لا تخاف؟!</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وقال الحسنُ البصريُّ ﵀: </w:t>
      </w:r>
      <w:r>
        <w:rPr>
          <w:rFonts w:ascii="Traditional Arabic" w:cs="Traditional Arabic" w:eastAsia="Traditional Arabic" w:hAnsi="Traditional Arabic"/>
          <w:b/>
          <w:bCs/>
          <w:i w:val="false"/>
          <w:iCs w:val="false"/>
          <w:sz w:val="28"/>
          <w:szCs w:val="28"/>
          <w:rtl/>
        </w:rPr>
        <w:t xml:space="preserve">إنّ العبدَ ليُذنبُ الذنبَ فما ينساه حتى يدخلَ الجنّة</w:t>
      </w:r>
      <w:r>
        <w:rPr>
          <w:rFonts w:ascii="Traditional Arabic" w:cs="Traditional Arabic" w:eastAsia="Traditional Arabic" w:hAnsi="Traditional Arabic"/>
          <w:b w:val="false"/>
          <w:bCs w:val="false"/>
          <w:i w:val="false"/>
          <w:iCs w:val="false"/>
          <w:sz w:val="28"/>
          <w:szCs w:val="28"/>
          <w:rtl/>
        </w:rPr>
        <w:t xml:space="preserve">. وأمّا عمرُ بنُ عبد العزيز ﵀ فتقول زوجتُه فاطمة: </w:t>
      </w:r>
      <w:r>
        <w:rPr>
          <w:rFonts w:ascii="Traditional Arabic" w:cs="Traditional Arabic" w:eastAsia="Traditional Arabic" w:hAnsi="Traditional Arabic"/>
          <w:b/>
          <w:bCs/>
          <w:i w:val="false"/>
          <w:iCs w:val="false"/>
          <w:sz w:val="28"/>
          <w:szCs w:val="28"/>
          <w:rtl/>
        </w:rPr>
        <w:t xml:space="preserve">ما كان أكثرَ الناس صلاةً ولا صيامًا، ولكن واللهِ ما رأيتُ أحدًا أشدَّ فَرَقًا من الله منه</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وفي الحديث القدسيّ: </w:t>
      </w:r>
      <w:r>
        <w:rPr>
          <w:rFonts w:ascii="Traditional Arabic" w:cs="Traditional Arabic" w:eastAsia="Traditional Arabic" w:hAnsi="Traditional Arabic"/>
          <w:b/>
          <w:bCs/>
          <w:i w:val="false"/>
          <w:iCs w:val="false"/>
          <w:sz w:val="28"/>
          <w:szCs w:val="28"/>
          <w:rtl/>
        </w:rPr>
        <w:t xml:space="preserve">«وعِزّتي لا أجمعُ لعبدي أمنَين ولا خوفَين: إن أمِنَني في الدنيا أخفتُه يوم أجمعُ عبادي، وإن خافني في الدنيا أمّنتُه يوم أجمعُ عبادي»</w:t>
      </w:r>
      <w:r>
        <w:rPr>
          <w:rStyle w:val="FootnoteReference"/>
        </w:rPr>
        <w:footnoteReference w:id="11"/>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bCs/>
          <w:i w:val="false"/>
          <w:iCs w:val="false"/>
          <w:sz w:val="28"/>
          <w:szCs w:val="28"/>
          <w:rtl/>
        </w:rPr>
        <w:t xml:space="preserve">جعلني اللهُ وإيّاكم من عباده المتّقين الأبرار الذين يخشَون ربَّهم حقَّ الخشية.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(٢/٤٤٠) والبخاري في «الأدب المفرد» (١١٩) وابن حبان والحاكم من حديث أبي هريرة ﵁، وصحّحه الألباني في «صحيح الأدب المفرد» (٩١) و«صحيح الترغيب» (٢٥٦٠) و«السلسلة الصحيحة» (١٩٠).</w:t>
      </w:r>
    </w:p>
  </w:footnote>
  <w:footnote w:id="2">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والترمذي (٢٣٠٥) من حديث أبي هريرة ﵁، وحسّنه الألباني في «صحيح الجامع» (١٠٠) و«السلسلة الصحيحة» (٩٣٠) — وهو تتمّةُ حديث «اتّقِ المحارمَ تكن أعبدَ الناس».</w:t>
      </w:r>
    </w:p>
  </w:footnote>
  <w:footnote w:id="3">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أثرٌ في كتب الرقائق والزهد، يُساق للاعتبار لا للاحتجاج؛ ومعناه مستفادٌ من نصوص الشرع في تعظيم حقوق العباد، ومنها حديث المفلس المتقدّم.</w:t>
      </w:r>
    </w:p>
  </w:footnote>
  <w:footnote w:id="4">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(١١٧٣) وابن خزيمة من حديث ابن مسعود ﵁، وصحّحه الألباني في «صحيح الجامع» (٦٦٩٠) و«الإرواء» (٢٧٣).</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(٤٦٩٠) والترمذي والحاكم من حديث أبي هريرة ﵁، وحسّنه الألباني في «صحيح أبي داود» (٣٩٢٩) و«صحيح الجامع» (٥٣٠).</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(٢/٣٠٥) والطبراني من حديث أبي هريرة ﵁ وعثمان بن أبي العاص ﵁، وحسّنه الألباني في «صحيح الترغيب» (٧٠٦) و«صحيح الجامع» (٢٥٠٤).</w:t>
      </w:r>
    </w:p>
  </w:footnote>
  <w:footnote w:id="7">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أخرجه أحمد والبيهقي وغيرهما ضمن أحاديث الإسراء، وله شواهد؛ وقد صحّح الألباني حديثَ الإسراء بمشاهد العذاب في «السلسلة الصحيحة». ولم أقف على حكمٍ لإمامٍ على هذا اللفظ بعينه في كتب الشيخ الحاضرة في المكتبة، فيُذكر مع التنبيه.</w:t>
      </w:r>
    </w:p>
  </w:footnote>
  <w:footnote w:id="8">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(٢١٤٩) والترمذي وأحمد من حديث بريدة ﵁، وحسّنه الألباني في «صحيح الجامع» (٧٩٥٣) و«الإرواء» (١٨٦٤).</w:t>
      </w:r>
    </w:p>
  </w:footnote>
  <w:footnote w:id="9">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(٥/٢٥٦) والطبراني من حديث أبي أُمامة ﵁، وصحّحه الألباني في «السلسلة الصحيحة» (٣٧٠).</w:t>
      </w:r>
    </w:p>
  </w:footnote>
  <w:footnote w:id="10">
    <w:p>
      <w:pPr>
        <w:bidi/>
        <w:jc w:val="right"/>
      </w:pPr>
      <w:r>
        <w:rPr>
          <w:rStyle w:val="FootnoteReference"/>
        </w:rPr>
        <w:footnoteRef/>
      </w:r>
      <w:r>
        <w:rPr>
          <w:rFonts w:ascii="Traditional Arabic" w:cs="Traditional Arabic" w:eastAsia="Traditional Arabic" w:hAnsi="Traditional Arabic"/>
          <w:sz w:val="20"/>
          <w:szCs w:val="20"/>
          <w:rtl/>
        </w:rPr>
        <w:t xml:space="preserve">كلمةٌ مشهورةٌ تُنسب إلى عليٍّ ﵁ في كتب الرقائق، ولم أقف على إسنادٍ يثبت بها عنه، فتُذكر على أنّها كلمةٌ حكيمةٌ لا أثرٌ ثابت.</w:t>
      </w:r>
    </w:p>
  </w:footnote>
  <w:footnote w:id="11">
    <w:p>
      <w:pPr>
        <w:bidi/>
        <w:jc w:val="right"/>
      </w:pPr>
      <w:r>
        <w:rPr>
          <w:rStyle w:val="FootnoteReference"/>
        </w:rPr>
        <w:footnoteRef/>
      </w:r>
      <w:r>
        <w:rPr>
          <w:rFonts w:ascii="Traditional Arabic" w:cs="Traditional Arabic" w:eastAsia="Traditional Arabic" w:hAnsi="Traditional Arabic"/>
          <w:sz w:val="20"/>
          <w:szCs w:val="20"/>
          <w:rtl/>
        </w:rPr>
        <w:t xml:space="preserve">رواه ابن حبان والبيهقي في «الشعب» من حديث أبي هريرة ﵁، وحسّنه الألباني في «صحيح الجامع» (٤٣٣٢) و«السلسلة الصحيحة» (٧٤٢).</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التقوى: منزلتُها وآثارُها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2026-08-01T18:03:05.568Z</dcterms:created>
  <dcterms:modified xsi:type="dcterms:W3CDTF">2026-08-01T18:03:05.568Z</dcterms:modified>
</cp:coreProperties>
</file>

<file path=docProps/custom.xml><?xml version="1.0" encoding="utf-8"?>
<Properties xmlns="http://schemas.openxmlformats.org/officeDocument/2006/custom-properties" xmlns:vt="http://schemas.openxmlformats.org/officeDocument/2006/docPropsVTypes"/>
</file>